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CDC" w:rsidRDefault="002127CB" w:rsidP="003422E7">
      <w:pPr>
        <w:jc w:val="center"/>
        <w:rPr>
          <w:b/>
          <w:sz w:val="40"/>
          <w:szCs w:val="40"/>
        </w:rPr>
      </w:pPr>
      <w:r>
        <w:rPr>
          <w:noProof/>
          <w:color w:val="1F497D"/>
        </w:rPr>
        <w:drawing>
          <wp:inline distT="0" distB="0" distL="0" distR="0">
            <wp:extent cx="560832" cy="701040"/>
            <wp:effectExtent l="0" t="0" r="0" b="3810"/>
            <wp:docPr id="1" name="Picture 1" descr="cid:image003.png@01CE7E38.3BC3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E7E38.3BC3822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61744" cy="702180"/>
                    </a:xfrm>
                    <a:prstGeom prst="rect">
                      <a:avLst/>
                    </a:prstGeom>
                    <a:noFill/>
                    <a:ln>
                      <a:noFill/>
                    </a:ln>
                  </pic:spPr>
                </pic:pic>
              </a:graphicData>
            </a:graphic>
          </wp:inline>
        </w:drawing>
      </w:r>
      <w:r w:rsidR="00283EEB" w:rsidRPr="002127CB">
        <w:rPr>
          <w:b/>
          <w:sz w:val="40"/>
          <w:szCs w:val="40"/>
        </w:rPr>
        <w:t xml:space="preserve">2013 Cadre Summer Retreat </w:t>
      </w:r>
      <w:r w:rsidR="00997D1F">
        <w:rPr>
          <w:b/>
          <w:sz w:val="40"/>
          <w:szCs w:val="40"/>
        </w:rPr>
        <w:t xml:space="preserve">Tier 2 </w:t>
      </w:r>
      <w:r w:rsidR="00283EEB" w:rsidRPr="002127CB">
        <w:rPr>
          <w:b/>
          <w:sz w:val="40"/>
          <w:szCs w:val="40"/>
        </w:rPr>
        <w:t>Resource</w:t>
      </w:r>
      <w:r w:rsidR="00997D1F">
        <w:rPr>
          <w:b/>
          <w:sz w:val="40"/>
          <w:szCs w:val="40"/>
        </w:rPr>
        <w:t>s</w:t>
      </w:r>
    </w:p>
    <w:tbl>
      <w:tblPr>
        <w:tblW w:w="0" w:type="auto"/>
        <w:tblCellMar>
          <w:left w:w="0" w:type="dxa"/>
          <w:right w:w="0" w:type="dxa"/>
        </w:tblCellMar>
        <w:tblLook w:val="04A0" w:firstRow="1" w:lastRow="0" w:firstColumn="1" w:lastColumn="0" w:noHBand="0" w:noVBand="1"/>
      </w:tblPr>
      <w:tblGrid>
        <w:gridCol w:w="1929"/>
        <w:gridCol w:w="8799"/>
      </w:tblGrid>
      <w:tr w:rsidR="00FD75B0" w:rsidRPr="00FD75B0" w:rsidTr="00FD75B0">
        <w:tc>
          <w:tcPr>
            <w:tcW w:w="1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D75B0" w:rsidRPr="00FD75B0" w:rsidRDefault="00FD75B0" w:rsidP="00FD75B0">
            <w:pPr>
              <w:spacing w:after="0" w:line="240" w:lineRule="auto"/>
              <w:rPr>
                <w:rFonts w:ascii="Calibri" w:hAnsi="Calibri" w:cs="Times New Roman"/>
                <w:b/>
                <w:bCs/>
              </w:rPr>
            </w:pPr>
            <w:r w:rsidRPr="00FD75B0">
              <w:rPr>
                <w:rFonts w:ascii="Calibri" w:hAnsi="Calibri" w:cs="Times New Roman"/>
                <w:b/>
                <w:bCs/>
              </w:rPr>
              <w:t>Retreat Topic:</w:t>
            </w:r>
          </w:p>
        </w:tc>
        <w:tc>
          <w:tcPr>
            <w:tcW w:w="8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75B0" w:rsidRPr="00FD75B0" w:rsidRDefault="00FD75B0" w:rsidP="00FD75B0">
            <w:pPr>
              <w:spacing w:after="0" w:line="240" w:lineRule="auto"/>
              <w:rPr>
                <w:rFonts w:ascii="Calibri" w:hAnsi="Calibri" w:cs="Times New Roman"/>
              </w:rPr>
            </w:pPr>
            <w:r w:rsidRPr="00FD75B0">
              <w:rPr>
                <w:rFonts w:ascii="Calibri" w:hAnsi="Calibri" w:cs="Times New Roman"/>
              </w:rPr>
              <w:t xml:space="preserve">Tier 2 </w:t>
            </w:r>
          </w:p>
        </w:tc>
      </w:tr>
      <w:tr w:rsidR="00FD75B0" w:rsidRPr="00FD75B0" w:rsidTr="00FD75B0">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5B0" w:rsidRPr="00FD75B0" w:rsidRDefault="00FD75B0" w:rsidP="00FD75B0">
            <w:pPr>
              <w:spacing w:after="0" w:line="240" w:lineRule="auto"/>
              <w:rPr>
                <w:rFonts w:ascii="Calibri" w:hAnsi="Calibri" w:cs="Times New Roman"/>
                <w:b/>
                <w:bCs/>
              </w:rPr>
            </w:pPr>
            <w:r>
              <w:rPr>
                <w:rFonts w:ascii="Calibri" w:hAnsi="Calibri" w:cs="Times New Roman"/>
                <w:b/>
                <w:bCs/>
              </w:rPr>
              <w:t>Intervention</w:t>
            </w:r>
            <w:r w:rsidRPr="00FD75B0">
              <w:rPr>
                <w:rFonts w:ascii="Calibri" w:hAnsi="Calibri" w:cs="Times New Roman"/>
                <w:b/>
                <w:bCs/>
              </w:rPr>
              <w:t>:</w:t>
            </w:r>
          </w:p>
        </w:tc>
        <w:tc>
          <w:tcPr>
            <w:tcW w:w="8799" w:type="dxa"/>
            <w:tcBorders>
              <w:top w:val="nil"/>
              <w:left w:val="nil"/>
              <w:bottom w:val="single" w:sz="8" w:space="0" w:color="auto"/>
              <w:right w:val="single" w:sz="8" w:space="0" w:color="auto"/>
            </w:tcBorders>
            <w:tcMar>
              <w:top w:w="0" w:type="dxa"/>
              <w:left w:w="108" w:type="dxa"/>
              <w:bottom w:w="0" w:type="dxa"/>
              <w:right w:w="108" w:type="dxa"/>
            </w:tcMar>
            <w:hideMark/>
          </w:tcPr>
          <w:p w:rsidR="00FD75B0" w:rsidRPr="00FD75B0" w:rsidRDefault="00FD75B0" w:rsidP="00FD75B0">
            <w:pPr>
              <w:spacing w:after="0" w:line="240" w:lineRule="auto"/>
              <w:rPr>
                <w:rFonts w:ascii="Calibri" w:hAnsi="Calibri" w:cs="Times New Roman"/>
                <w:b/>
                <w:bCs/>
              </w:rPr>
            </w:pPr>
            <w:r w:rsidRPr="00FD75B0">
              <w:rPr>
                <w:rFonts w:ascii="Calibri" w:hAnsi="Calibri" w:cs="Times New Roman"/>
                <w:b/>
                <w:bCs/>
              </w:rPr>
              <w:t>Organizational Check-up</w:t>
            </w:r>
          </w:p>
        </w:tc>
      </w:tr>
      <w:tr w:rsidR="00FD75B0" w:rsidRPr="00FD75B0" w:rsidTr="00FD75B0">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5B0" w:rsidRPr="00FD75B0" w:rsidRDefault="00FD75B0" w:rsidP="00FD75B0">
            <w:pPr>
              <w:spacing w:after="0" w:line="240" w:lineRule="auto"/>
              <w:rPr>
                <w:rFonts w:ascii="Calibri" w:hAnsi="Calibri" w:cs="Times New Roman"/>
                <w:b/>
                <w:bCs/>
              </w:rPr>
            </w:pPr>
            <w:r w:rsidRPr="00FD75B0">
              <w:rPr>
                <w:rFonts w:ascii="Calibri" w:hAnsi="Calibri" w:cs="Times New Roman"/>
                <w:b/>
                <w:bCs/>
              </w:rPr>
              <w:t>Author(s):</w:t>
            </w:r>
          </w:p>
        </w:tc>
        <w:tc>
          <w:tcPr>
            <w:tcW w:w="8799" w:type="dxa"/>
            <w:tcBorders>
              <w:top w:val="nil"/>
              <w:left w:val="nil"/>
              <w:bottom w:val="single" w:sz="8" w:space="0" w:color="auto"/>
              <w:right w:val="single" w:sz="8" w:space="0" w:color="auto"/>
            </w:tcBorders>
            <w:tcMar>
              <w:top w:w="0" w:type="dxa"/>
              <w:left w:w="108" w:type="dxa"/>
              <w:bottom w:w="0" w:type="dxa"/>
              <w:right w:w="108" w:type="dxa"/>
            </w:tcMar>
            <w:hideMark/>
          </w:tcPr>
          <w:p w:rsidR="00FD75B0" w:rsidRPr="00FD75B0" w:rsidRDefault="00FD75B0" w:rsidP="00FD75B0">
            <w:pPr>
              <w:spacing w:after="0" w:line="240" w:lineRule="auto"/>
              <w:rPr>
                <w:rFonts w:ascii="Calibri" w:hAnsi="Calibri" w:cs="Times New Roman"/>
              </w:rPr>
            </w:pPr>
            <w:r w:rsidRPr="00FD75B0">
              <w:rPr>
                <w:rFonts w:ascii="Calibri" w:hAnsi="Calibri" w:cs="Times New Roman"/>
              </w:rPr>
              <w:t>Evans, Schultz, White, Brady, Sibley, Van Eck (2009)</w:t>
            </w:r>
          </w:p>
        </w:tc>
      </w:tr>
      <w:tr w:rsidR="00FD75B0" w:rsidRPr="00FD75B0" w:rsidTr="00FD75B0">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5B0" w:rsidRPr="00FD75B0" w:rsidRDefault="00FD75B0" w:rsidP="00FD75B0">
            <w:pPr>
              <w:spacing w:after="0" w:line="240" w:lineRule="auto"/>
              <w:rPr>
                <w:rFonts w:ascii="Calibri" w:hAnsi="Calibri" w:cs="Times New Roman"/>
                <w:b/>
                <w:bCs/>
              </w:rPr>
            </w:pPr>
            <w:r w:rsidRPr="00FD75B0">
              <w:rPr>
                <w:rFonts w:ascii="Calibri" w:hAnsi="Calibri" w:cs="Times New Roman"/>
                <w:b/>
                <w:bCs/>
              </w:rPr>
              <w:t>Brief overview:</w:t>
            </w:r>
          </w:p>
        </w:tc>
        <w:tc>
          <w:tcPr>
            <w:tcW w:w="8799" w:type="dxa"/>
            <w:tcBorders>
              <w:top w:val="nil"/>
              <w:left w:val="nil"/>
              <w:bottom w:val="single" w:sz="8" w:space="0" w:color="auto"/>
              <w:right w:val="single" w:sz="8" w:space="0" w:color="auto"/>
            </w:tcBorders>
            <w:tcMar>
              <w:top w:w="0" w:type="dxa"/>
              <w:left w:w="108" w:type="dxa"/>
              <w:bottom w:w="0" w:type="dxa"/>
              <w:right w:w="108" w:type="dxa"/>
            </w:tcMar>
            <w:hideMark/>
          </w:tcPr>
          <w:p w:rsidR="00FD75B0" w:rsidRPr="00FD75B0" w:rsidRDefault="00FD75B0" w:rsidP="00FD75B0">
            <w:pPr>
              <w:spacing w:after="0" w:line="240" w:lineRule="auto"/>
              <w:rPr>
                <w:rFonts w:ascii="Calibri" w:hAnsi="Calibri" w:cs="Times New Roman"/>
              </w:rPr>
            </w:pPr>
            <w:r w:rsidRPr="00FD75B0">
              <w:rPr>
                <w:rFonts w:ascii="Calibri" w:hAnsi="Calibri" w:cs="Times New Roman"/>
              </w:rPr>
              <w:t>A Tier 2 intervention that facilitates a student’s organization and promotes a student’s ability to sort and store paperwork, identify assigned homework, and locate completed assignments when they are due. The intervention includes consistent monitoring and routine check-ups of three target areas (binder, book bag and locker) using checklists and tracking forms.  Frequent reinforcement is provided for maintenance of organizational skills. The intervention initially requires weekly check-ins which are eventually faded once the student’s success is established.</w:t>
            </w:r>
          </w:p>
        </w:tc>
      </w:tr>
      <w:tr w:rsidR="00FD75B0" w:rsidRPr="00FD75B0" w:rsidTr="00FD75B0">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5B0" w:rsidRPr="00FD75B0" w:rsidRDefault="00FD75B0" w:rsidP="00FD75B0">
            <w:pPr>
              <w:spacing w:after="0" w:line="240" w:lineRule="auto"/>
              <w:rPr>
                <w:rFonts w:ascii="Calibri" w:hAnsi="Calibri" w:cs="Times New Roman"/>
                <w:b/>
                <w:bCs/>
              </w:rPr>
            </w:pPr>
            <w:r w:rsidRPr="00FD75B0">
              <w:rPr>
                <w:rFonts w:ascii="Calibri" w:hAnsi="Calibri" w:cs="Times New Roman"/>
                <w:b/>
                <w:bCs/>
              </w:rPr>
              <w:t>Recommendations for implementation:</w:t>
            </w:r>
          </w:p>
        </w:tc>
        <w:tc>
          <w:tcPr>
            <w:tcW w:w="8799" w:type="dxa"/>
            <w:tcBorders>
              <w:top w:val="nil"/>
              <w:left w:val="nil"/>
              <w:bottom w:val="single" w:sz="8" w:space="0" w:color="auto"/>
              <w:right w:val="single" w:sz="8" w:space="0" w:color="auto"/>
            </w:tcBorders>
            <w:tcMar>
              <w:top w:w="0" w:type="dxa"/>
              <w:left w:w="108" w:type="dxa"/>
              <w:bottom w:w="0" w:type="dxa"/>
              <w:right w:w="108" w:type="dxa"/>
            </w:tcMar>
            <w:hideMark/>
          </w:tcPr>
          <w:p w:rsidR="00FD75B0" w:rsidRPr="00FD75B0" w:rsidRDefault="00FD75B0" w:rsidP="00FD75B0">
            <w:pPr>
              <w:spacing w:after="0" w:line="240" w:lineRule="auto"/>
              <w:rPr>
                <w:rFonts w:ascii="Calibri" w:hAnsi="Calibri" w:cs="Times New Roman"/>
              </w:rPr>
            </w:pPr>
            <w:r w:rsidRPr="00FD75B0">
              <w:rPr>
                <w:rFonts w:ascii="Calibri" w:hAnsi="Calibri" w:cs="Times New Roman"/>
              </w:rPr>
              <w:t>Appropriate for students who turn in homework assignments and projects less than an average of 90% of the time across classes. The link below outlines the implementation procedures and provides the organizational checklist.</w:t>
            </w:r>
          </w:p>
        </w:tc>
      </w:tr>
      <w:tr w:rsidR="00FD75B0" w:rsidRPr="00FD75B0" w:rsidTr="00FD75B0">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D75B0" w:rsidRPr="00FD75B0" w:rsidRDefault="00FD75B0" w:rsidP="00FD75B0">
            <w:pPr>
              <w:spacing w:after="0" w:line="240" w:lineRule="auto"/>
              <w:rPr>
                <w:rFonts w:ascii="Calibri" w:hAnsi="Calibri" w:cs="Times New Roman"/>
                <w:b/>
                <w:bCs/>
              </w:rPr>
            </w:pPr>
            <w:r w:rsidRPr="00FD75B0">
              <w:rPr>
                <w:rFonts w:ascii="Calibri" w:hAnsi="Calibri" w:cs="Times New Roman"/>
                <w:b/>
                <w:bCs/>
              </w:rPr>
              <w:t>Online resources are available:</w:t>
            </w:r>
          </w:p>
        </w:tc>
        <w:tc>
          <w:tcPr>
            <w:tcW w:w="8799" w:type="dxa"/>
            <w:tcBorders>
              <w:top w:val="nil"/>
              <w:left w:val="nil"/>
              <w:bottom w:val="single" w:sz="8" w:space="0" w:color="auto"/>
              <w:right w:val="single" w:sz="8" w:space="0" w:color="auto"/>
            </w:tcBorders>
            <w:tcMar>
              <w:top w:w="0" w:type="dxa"/>
              <w:left w:w="108" w:type="dxa"/>
              <w:bottom w:w="0" w:type="dxa"/>
              <w:right w:w="108" w:type="dxa"/>
            </w:tcMar>
            <w:hideMark/>
          </w:tcPr>
          <w:p w:rsidR="00FD75B0" w:rsidRPr="00FD75B0" w:rsidRDefault="00A32898" w:rsidP="00FD75B0">
            <w:pPr>
              <w:spacing w:after="0" w:line="240" w:lineRule="auto"/>
              <w:rPr>
                <w:rFonts w:ascii="Calibri" w:hAnsi="Calibri" w:cs="Times New Roman"/>
              </w:rPr>
            </w:pPr>
            <w:hyperlink r:id="rId8" w:history="1">
              <w:r w:rsidR="00FD75B0" w:rsidRPr="00FD75B0">
                <w:rPr>
                  <w:rFonts w:ascii="Calibri" w:hAnsi="Calibri" w:cs="Times New Roman"/>
                  <w:color w:val="0000FF"/>
                  <w:u w:val="single"/>
                </w:rPr>
                <w:t>http://www.swpbs.org/inservice/files/organization-check-up-module.pdf</w:t>
              </w:r>
            </w:hyperlink>
            <w:r w:rsidR="00FD75B0" w:rsidRPr="00FD75B0">
              <w:rPr>
                <w:rFonts w:ascii="Calibri" w:hAnsi="Calibri" w:cs="Times New Roman"/>
              </w:rPr>
              <w:t xml:space="preserve"> </w:t>
            </w:r>
          </w:p>
        </w:tc>
      </w:tr>
    </w:tbl>
    <w:p w:rsidR="00FD75B0" w:rsidRDefault="00FD75B0" w:rsidP="00FD75B0">
      <w:pPr>
        <w:spacing w:after="0" w:line="240" w:lineRule="auto"/>
        <w:rPr>
          <w:rFonts w:ascii="Calibri" w:hAnsi="Calibri" w:cs="Times New Roman"/>
        </w:rPr>
      </w:pPr>
    </w:p>
    <w:p w:rsidR="00FD75B0" w:rsidRPr="00FD75B0" w:rsidRDefault="00FD75B0" w:rsidP="00FD75B0">
      <w:pPr>
        <w:spacing w:after="0" w:line="240" w:lineRule="auto"/>
        <w:rPr>
          <w:rFonts w:ascii="Calibri" w:hAnsi="Calibri" w:cs="Times New Roman"/>
        </w:rPr>
      </w:pPr>
    </w:p>
    <w:tbl>
      <w:tblPr>
        <w:tblStyle w:val="TableGrid"/>
        <w:tblW w:w="0" w:type="auto"/>
        <w:tblLook w:val="04A0" w:firstRow="1" w:lastRow="0" w:firstColumn="1" w:lastColumn="0" w:noHBand="0" w:noVBand="1"/>
      </w:tblPr>
      <w:tblGrid>
        <w:gridCol w:w="1929"/>
        <w:gridCol w:w="8799"/>
      </w:tblGrid>
      <w:tr w:rsidR="00283EEB" w:rsidTr="00FD75B0">
        <w:tc>
          <w:tcPr>
            <w:tcW w:w="1929" w:type="dxa"/>
          </w:tcPr>
          <w:p w:rsidR="00283EEB" w:rsidRPr="002127CB" w:rsidRDefault="002127CB" w:rsidP="008C0523">
            <w:pPr>
              <w:rPr>
                <w:b/>
              </w:rPr>
            </w:pPr>
            <w:r>
              <w:rPr>
                <w:b/>
              </w:rPr>
              <w:t>Retreat</w:t>
            </w:r>
            <w:r w:rsidR="00283EEB" w:rsidRPr="002127CB">
              <w:rPr>
                <w:b/>
              </w:rPr>
              <w:t xml:space="preserve"> Topic:</w:t>
            </w:r>
          </w:p>
        </w:tc>
        <w:tc>
          <w:tcPr>
            <w:tcW w:w="8799" w:type="dxa"/>
          </w:tcPr>
          <w:p w:rsidR="00283EEB" w:rsidRDefault="00283EEB">
            <w:r>
              <w:t>Tier 2</w:t>
            </w:r>
          </w:p>
        </w:tc>
      </w:tr>
      <w:tr w:rsidR="00283EEB" w:rsidTr="00FD75B0">
        <w:tc>
          <w:tcPr>
            <w:tcW w:w="1929" w:type="dxa"/>
          </w:tcPr>
          <w:p w:rsidR="00283EEB" w:rsidRPr="002127CB" w:rsidRDefault="00FD75B0" w:rsidP="00FD75B0">
            <w:pPr>
              <w:rPr>
                <w:b/>
              </w:rPr>
            </w:pPr>
            <w:r>
              <w:rPr>
                <w:b/>
              </w:rPr>
              <w:t>Intervention</w:t>
            </w:r>
            <w:r w:rsidR="00283EEB" w:rsidRPr="002127CB">
              <w:rPr>
                <w:b/>
              </w:rPr>
              <w:t>:</w:t>
            </w:r>
          </w:p>
        </w:tc>
        <w:tc>
          <w:tcPr>
            <w:tcW w:w="8799" w:type="dxa"/>
          </w:tcPr>
          <w:p w:rsidR="00283EEB" w:rsidRPr="00D6552B" w:rsidRDefault="00283EEB" w:rsidP="002127CB">
            <w:pPr>
              <w:rPr>
                <w:b/>
              </w:rPr>
            </w:pPr>
            <w:r w:rsidRPr="00D6552B">
              <w:rPr>
                <w:b/>
              </w:rPr>
              <w:t xml:space="preserve">Tier 2 Academic Seminar </w:t>
            </w:r>
            <w:r w:rsidR="002127CB" w:rsidRPr="00D6552B">
              <w:rPr>
                <w:b/>
              </w:rPr>
              <w:t>or the Behavior Education Program (HS-BEP)</w:t>
            </w:r>
          </w:p>
        </w:tc>
      </w:tr>
      <w:tr w:rsidR="00283EEB" w:rsidTr="00FD75B0">
        <w:tc>
          <w:tcPr>
            <w:tcW w:w="1929" w:type="dxa"/>
          </w:tcPr>
          <w:p w:rsidR="00283EEB" w:rsidRPr="002127CB" w:rsidRDefault="00283EEB" w:rsidP="008C0523">
            <w:pPr>
              <w:rPr>
                <w:b/>
              </w:rPr>
            </w:pPr>
            <w:r w:rsidRPr="002127CB">
              <w:rPr>
                <w:b/>
              </w:rPr>
              <w:t>Author(s):</w:t>
            </w:r>
          </w:p>
        </w:tc>
        <w:tc>
          <w:tcPr>
            <w:tcW w:w="8799" w:type="dxa"/>
          </w:tcPr>
          <w:p w:rsidR="00283EEB" w:rsidRDefault="00283EEB">
            <w:r>
              <w:t xml:space="preserve">Judy </w:t>
            </w:r>
            <w:proofErr w:type="spellStart"/>
            <w:r>
              <w:t>Kerner</w:t>
            </w:r>
            <w:proofErr w:type="spellEnd"/>
            <w:r>
              <w:t xml:space="preserve"> (teacher) and Jessica Swain-</w:t>
            </w:r>
            <w:proofErr w:type="spellStart"/>
            <w:r>
              <w:t>Bradway</w:t>
            </w:r>
            <w:proofErr w:type="spellEnd"/>
            <w:r>
              <w:t xml:space="preserve"> (researcher)</w:t>
            </w:r>
          </w:p>
        </w:tc>
      </w:tr>
      <w:tr w:rsidR="00283EEB" w:rsidTr="00FD75B0">
        <w:tc>
          <w:tcPr>
            <w:tcW w:w="1929" w:type="dxa"/>
          </w:tcPr>
          <w:p w:rsidR="00283EEB" w:rsidRPr="002127CB" w:rsidRDefault="00283EEB" w:rsidP="008C0523">
            <w:pPr>
              <w:rPr>
                <w:b/>
              </w:rPr>
            </w:pPr>
            <w:r w:rsidRPr="002127CB">
              <w:rPr>
                <w:b/>
              </w:rPr>
              <w:t>Brief overview:</w:t>
            </w:r>
          </w:p>
        </w:tc>
        <w:tc>
          <w:tcPr>
            <w:tcW w:w="8799" w:type="dxa"/>
          </w:tcPr>
          <w:p w:rsidR="00283EEB" w:rsidRDefault="00283EEB" w:rsidP="00283EEB">
            <w:r>
              <w:t xml:space="preserve">In this packet, you will two materials. First, you will find slides outlining the Academic Seminar program at Churchill High School. The slides explain how the seminar is structured. Second, you will find a copy of the handbook for this seminar. </w:t>
            </w:r>
            <w:r w:rsidR="002127CB">
              <w:t xml:space="preserve">This program incorporates the CICO strategy. </w:t>
            </w:r>
          </w:p>
        </w:tc>
      </w:tr>
      <w:tr w:rsidR="00283EEB" w:rsidTr="00FD75B0">
        <w:tc>
          <w:tcPr>
            <w:tcW w:w="1929" w:type="dxa"/>
          </w:tcPr>
          <w:p w:rsidR="00283EEB" w:rsidRPr="002127CB" w:rsidRDefault="00283EEB" w:rsidP="008C0523">
            <w:pPr>
              <w:rPr>
                <w:b/>
              </w:rPr>
            </w:pPr>
            <w:r w:rsidRPr="002127CB">
              <w:rPr>
                <w:b/>
              </w:rPr>
              <w:t>Recommendations for implementation:</w:t>
            </w:r>
          </w:p>
        </w:tc>
        <w:tc>
          <w:tcPr>
            <w:tcW w:w="8799" w:type="dxa"/>
          </w:tcPr>
          <w:p w:rsidR="00283EEB" w:rsidRDefault="00283EEB">
            <w:r>
              <w:t xml:space="preserve">This program was implemented in a high school and it was used as a drop-out prevention program for students with and without disabilities who </w:t>
            </w:r>
            <w:r w:rsidR="002127CB">
              <w:t xml:space="preserve">were considered to need Tier 2 services and </w:t>
            </w:r>
            <w:r>
              <w:t xml:space="preserve">met the following </w:t>
            </w:r>
            <w:r w:rsidR="002127CB">
              <w:t xml:space="preserve">general </w:t>
            </w:r>
            <w:r>
              <w:t xml:space="preserve">criteria: </w:t>
            </w:r>
          </w:p>
          <w:p w:rsidR="00283EEB" w:rsidRDefault="00283EEB" w:rsidP="00283EEB">
            <w:pPr>
              <w:pStyle w:val="ListParagraph"/>
              <w:numPr>
                <w:ilvl w:val="0"/>
                <w:numId w:val="1"/>
              </w:numPr>
            </w:pPr>
            <w:r>
              <w:t>Teacher recommendations</w:t>
            </w:r>
            <w:r w:rsidR="002127CB">
              <w:t>, and</w:t>
            </w:r>
          </w:p>
          <w:p w:rsidR="00283EEB" w:rsidRDefault="00283EEB" w:rsidP="002127CB">
            <w:pPr>
              <w:pStyle w:val="ListParagraph"/>
              <w:numPr>
                <w:ilvl w:val="0"/>
                <w:numId w:val="1"/>
              </w:numPr>
            </w:pPr>
            <w:r>
              <w:t>One or more “F” grades on report card</w:t>
            </w:r>
          </w:p>
        </w:tc>
      </w:tr>
      <w:tr w:rsidR="00283EEB" w:rsidTr="00FD75B0">
        <w:tc>
          <w:tcPr>
            <w:tcW w:w="1929" w:type="dxa"/>
          </w:tcPr>
          <w:p w:rsidR="00283EEB" w:rsidRPr="002127CB" w:rsidRDefault="00283EEB" w:rsidP="001F4B63">
            <w:pPr>
              <w:rPr>
                <w:b/>
              </w:rPr>
            </w:pPr>
            <w:r w:rsidRPr="002127CB">
              <w:rPr>
                <w:b/>
              </w:rPr>
              <w:t xml:space="preserve">Online </w:t>
            </w:r>
            <w:r w:rsidR="001F4B63">
              <w:rPr>
                <w:b/>
              </w:rPr>
              <w:t>resources are available</w:t>
            </w:r>
            <w:r w:rsidRPr="002127CB">
              <w:rPr>
                <w:b/>
              </w:rPr>
              <w:t>:</w:t>
            </w:r>
          </w:p>
        </w:tc>
        <w:tc>
          <w:tcPr>
            <w:tcW w:w="8799" w:type="dxa"/>
          </w:tcPr>
          <w:p w:rsidR="00283EEB" w:rsidRDefault="002127CB" w:rsidP="002127CB">
            <w:r>
              <w:t>Google “HS BEP” and/or “Jessica Swain-</w:t>
            </w:r>
            <w:proofErr w:type="spellStart"/>
            <w:r>
              <w:t>Bradway</w:t>
            </w:r>
            <w:proofErr w:type="spellEnd"/>
            <w:r>
              <w:t>” and you’ll find these documents</w:t>
            </w:r>
          </w:p>
        </w:tc>
      </w:tr>
    </w:tbl>
    <w:p w:rsidR="00997D1F" w:rsidRDefault="00997D1F" w:rsidP="00997D1F">
      <w:pPr>
        <w:rPr>
          <w:b/>
          <w:sz w:val="24"/>
          <w:szCs w:val="24"/>
        </w:rPr>
      </w:pPr>
    </w:p>
    <w:tbl>
      <w:tblPr>
        <w:tblStyle w:val="TableGrid"/>
        <w:tblW w:w="0" w:type="auto"/>
        <w:tblLook w:val="04A0" w:firstRow="1" w:lastRow="0" w:firstColumn="1" w:lastColumn="0" w:noHBand="0" w:noVBand="1"/>
      </w:tblPr>
      <w:tblGrid>
        <w:gridCol w:w="1929"/>
        <w:gridCol w:w="8799"/>
      </w:tblGrid>
      <w:tr w:rsidR="00997D1F" w:rsidTr="00FD75B0">
        <w:tc>
          <w:tcPr>
            <w:tcW w:w="1929" w:type="dxa"/>
            <w:tcBorders>
              <w:top w:val="single" w:sz="4" w:space="0" w:color="auto"/>
              <w:left w:val="single" w:sz="4" w:space="0" w:color="auto"/>
              <w:bottom w:val="single" w:sz="4" w:space="0" w:color="auto"/>
              <w:right w:val="single" w:sz="4" w:space="0" w:color="auto"/>
            </w:tcBorders>
            <w:hideMark/>
          </w:tcPr>
          <w:p w:rsidR="00997D1F" w:rsidRDefault="00997D1F" w:rsidP="00611E54">
            <w:pPr>
              <w:rPr>
                <w:b/>
              </w:rPr>
            </w:pPr>
            <w:r>
              <w:rPr>
                <w:b/>
              </w:rPr>
              <w:t>Retreat Topic:</w:t>
            </w:r>
          </w:p>
        </w:tc>
        <w:tc>
          <w:tcPr>
            <w:tcW w:w="8799" w:type="dxa"/>
            <w:tcBorders>
              <w:top w:val="single" w:sz="4" w:space="0" w:color="auto"/>
              <w:left w:val="single" w:sz="4" w:space="0" w:color="auto"/>
              <w:bottom w:val="single" w:sz="4" w:space="0" w:color="auto"/>
              <w:right w:val="single" w:sz="4" w:space="0" w:color="auto"/>
            </w:tcBorders>
            <w:hideMark/>
          </w:tcPr>
          <w:p w:rsidR="00997D1F" w:rsidRDefault="00997D1F" w:rsidP="00611E54">
            <w:r>
              <w:t>Tier 2</w:t>
            </w:r>
          </w:p>
        </w:tc>
      </w:tr>
      <w:tr w:rsidR="00997D1F" w:rsidTr="00FD75B0">
        <w:tc>
          <w:tcPr>
            <w:tcW w:w="1929" w:type="dxa"/>
            <w:tcBorders>
              <w:top w:val="single" w:sz="4" w:space="0" w:color="auto"/>
              <w:left w:val="single" w:sz="4" w:space="0" w:color="auto"/>
              <w:bottom w:val="single" w:sz="4" w:space="0" w:color="auto"/>
              <w:right w:val="single" w:sz="4" w:space="0" w:color="auto"/>
            </w:tcBorders>
            <w:hideMark/>
          </w:tcPr>
          <w:p w:rsidR="00997D1F" w:rsidRDefault="00997D1F" w:rsidP="00FD75B0">
            <w:pPr>
              <w:rPr>
                <w:b/>
              </w:rPr>
            </w:pPr>
            <w:r>
              <w:rPr>
                <w:b/>
              </w:rPr>
              <w:t>Intervention:</w:t>
            </w:r>
          </w:p>
        </w:tc>
        <w:tc>
          <w:tcPr>
            <w:tcW w:w="8799" w:type="dxa"/>
            <w:tcBorders>
              <w:top w:val="single" w:sz="4" w:space="0" w:color="auto"/>
              <w:left w:val="single" w:sz="4" w:space="0" w:color="auto"/>
              <w:bottom w:val="single" w:sz="4" w:space="0" w:color="auto"/>
              <w:right w:val="single" w:sz="4" w:space="0" w:color="auto"/>
            </w:tcBorders>
            <w:hideMark/>
          </w:tcPr>
          <w:p w:rsidR="00997D1F" w:rsidRDefault="00997D1F" w:rsidP="00611E54">
            <w:pPr>
              <w:rPr>
                <w:b/>
              </w:rPr>
            </w:pPr>
            <w:r>
              <w:rPr>
                <w:b/>
              </w:rPr>
              <w:t>Check and Connect</w:t>
            </w:r>
          </w:p>
        </w:tc>
      </w:tr>
      <w:tr w:rsidR="00997D1F" w:rsidTr="00FD75B0">
        <w:tc>
          <w:tcPr>
            <w:tcW w:w="1929" w:type="dxa"/>
            <w:tcBorders>
              <w:top w:val="single" w:sz="4" w:space="0" w:color="auto"/>
              <w:left w:val="single" w:sz="4" w:space="0" w:color="auto"/>
              <w:bottom w:val="single" w:sz="4" w:space="0" w:color="auto"/>
              <w:right w:val="single" w:sz="4" w:space="0" w:color="auto"/>
            </w:tcBorders>
            <w:hideMark/>
          </w:tcPr>
          <w:p w:rsidR="00997D1F" w:rsidRDefault="00997D1F" w:rsidP="00611E54">
            <w:pPr>
              <w:rPr>
                <w:b/>
              </w:rPr>
            </w:pPr>
            <w:r>
              <w:rPr>
                <w:b/>
              </w:rPr>
              <w:t>Author(s):</w:t>
            </w:r>
          </w:p>
        </w:tc>
        <w:tc>
          <w:tcPr>
            <w:tcW w:w="8799" w:type="dxa"/>
            <w:tcBorders>
              <w:top w:val="single" w:sz="4" w:space="0" w:color="auto"/>
              <w:left w:val="single" w:sz="4" w:space="0" w:color="auto"/>
              <w:bottom w:val="single" w:sz="4" w:space="0" w:color="auto"/>
              <w:right w:val="single" w:sz="4" w:space="0" w:color="auto"/>
            </w:tcBorders>
            <w:hideMark/>
          </w:tcPr>
          <w:p w:rsidR="00997D1F" w:rsidRDefault="00997D1F" w:rsidP="00611E54">
            <w:r>
              <w:t xml:space="preserve">Sandra Christenson, Martha </w:t>
            </w:r>
            <w:proofErr w:type="spellStart"/>
            <w:r>
              <w:rPr>
                <w:rFonts w:ascii="Calibri" w:hAnsi="Calibri"/>
              </w:rPr>
              <w:t>Thurlow</w:t>
            </w:r>
            <w:proofErr w:type="spellEnd"/>
            <w:r>
              <w:rPr>
                <w:rFonts w:ascii="Calibri" w:hAnsi="Calibri"/>
              </w:rPr>
              <w:t xml:space="preserve">, Mary Sinclair, Camilla Lehr, Colleen </w:t>
            </w:r>
            <w:proofErr w:type="spellStart"/>
            <w:r>
              <w:rPr>
                <w:rFonts w:ascii="Calibri" w:hAnsi="Calibri"/>
              </w:rPr>
              <w:t>Kaibel</w:t>
            </w:r>
            <w:proofErr w:type="spellEnd"/>
            <w:r>
              <w:rPr>
                <w:rFonts w:ascii="Calibri" w:hAnsi="Calibri"/>
              </w:rPr>
              <w:t xml:space="preserve">, and Amy </w:t>
            </w:r>
            <w:proofErr w:type="spellStart"/>
            <w:r>
              <w:rPr>
                <w:rFonts w:ascii="Calibri" w:hAnsi="Calibri"/>
              </w:rPr>
              <w:t>Reschly</w:t>
            </w:r>
            <w:proofErr w:type="spellEnd"/>
          </w:p>
        </w:tc>
      </w:tr>
      <w:tr w:rsidR="00997D1F" w:rsidTr="00FD75B0">
        <w:tc>
          <w:tcPr>
            <w:tcW w:w="1929" w:type="dxa"/>
            <w:tcBorders>
              <w:top w:val="single" w:sz="4" w:space="0" w:color="auto"/>
              <w:left w:val="single" w:sz="4" w:space="0" w:color="auto"/>
              <w:bottom w:val="single" w:sz="4" w:space="0" w:color="auto"/>
              <w:right w:val="single" w:sz="4" w:space="0" w:color="auto"/>
            </w:tcBorders>
            <w:hideMark/>
          </w:tcPr>
          <w:p w:rsidR="00997D1F" w:rsidRDefault="00997D1F" w:rsidP="00611E54">
            <w:pPr>
              <w:rPr>
                <w:b/>
              </w:rPr>
            </w:pPr>
            <w:r>
              <w:rPr>
                <w:b/>
              </w:rPr>
              <w:t>Brief overview:</w:t>
            </w:r>
          </w:p>
        </w:tc>
        <w:tc>
          <w:tcPr>
            <w:tcW w:w="8799" w:type="dxa"/>
            <w:tcBorders>
              <w:top w:val="single" w:sz="4" w:space="0" w:color="auto"/>
              <w:left w:val="single" w:sz="4" w:space="0" w:color="auto"/>
              <w:bottom w:val="single" w:sz="4" w:space="0" w:color="auto"/>
              <w:right w:val="single" w:sz="4" w:space="0" w:color="auto"/>
            </w:tcBorders>
            <w:hideMark/>
          </w:tcPr>
          <w:p w:rsidR="00997D1F" w:rsidRDefault="00997D1F" w:rsidP="00611E54">
            <w:r>
              <w:t xml:space="preserve">This research-based intervention is designed to increase student engagement through relationship building, problem solving, and persistence. It involves a </w:t>
            </w:r>
            <w:r>
              <w:br/>
              <w:t xml:space="preserve">“monitor” who develops positive relationships between students, families, and the school, and regularly meets with a student to check in. During each “check-in,” the student’s progress is reviewed and discussed, and the monitor provides feedback to the student. This monitor also intervenes when problems occur (such as by developing academic or behavioral interventions to support the student), advocates for the student, and coordinates services. </w:t>
            </w:r>
          </w:p>
        </w:tc>
      </w:tr>
      <w:tr w:rsidR="00997D1F" w:rsidTr="00FD75B0">
        <w:tc>
          <w:tcPr>
            <w:tcW w:w="1929" w:type="dxa"/>
            <w:tcBorders>
              <w:top w:val="single" w:sz="4" w:space="0" w:color="auto"/>
              <w:left w:val="single" w:sz="4" w:space="0" w:color="auto"/>
              <w:bottom w:val="single" w:sz="4" w:space="0" w:color="auto"/>
              <w:right w:val="single" w:sz="4" w:space="0" w:color="auto"/>
            </w:tcBorders>
            <w:hideMark/>
          </w:tcPr>
          <w:p w:rsidR="00997D1F" w:rsidRDefault="00997D1F" w:rsidP="00611E54">
            <w:pPr>
              <w:rPr>
                <w:b/>
              </w:rPr>
            </w:pPr>
            <w:bookmarkStart w:id="0" w:name="_GoBack"/>
            <w:r>
              <w:rPr>
                <w:b/>
              </w:rPr>
              <w:t>Recommendations for implementation:</w:t>
            </w:r>
          </w:p>
        </w:tc>
        <w:tc>
          <w:tcPr>
            <w:tcW w:w="8799" w:type="dxa"/>
            <w:tcBorders>
              <w:top w:val="single" w:sz="4" w:space="0" w:color="auto"/>
              <w:left w:val="single" w:sz="4" w:space="0" w:color="auto"/>
              <w:bottom w:val="single" w:sz="4" w:space="0" w:color="auto"/>
              <w:right w:val="single" w:sz="4" w:space="0" w:color="auto"/>
            </w:tcBorders>
            <w:hideMark/>
          </w:tcPr>
          <w:p w:rsidR="00997D1F" w:rsidRDefault="00997D1F" w:rsidP="00611E54">
            <w:r>
              <w:t xml:space="preserve">The staff members involved in this intervention </w:t>
            </w:r>
            <w:proofErr w:type="gramStart"/>
            <w:r>
              <w:t>have</w:t>
            </w:r>
            <w:proofErr w:type="gramEnd"/>
            <w:r>
              <w:t xml:space="preserve"> the primary job role of “monitor,” meaning that this role is filled by a staff member with allocated time and willingness.  </w:t>
            </w:r>
          </w:p>
        </w:tc>
      </w:tr>
      <w:bookmarkEnd w:id="0"/>
      <w:tr w:rsidR="00A32898" w:rsidTr="00A32898">
        <w:tc>
          <w:tcPr>
            <w:tcW w:w="1929" w:type="dxa"/>
            <w:hideMark/>
          </w:tcPr>
          <w:p w:rsidR="00A32898" w:rsidRDefault="00A32898" w:rsidP="00337D37">
            <w:pPr>
              <w:rPr>
                <w:b/>
              </w:rPr>
            </w:pPr>
            <w:r>
              <w:rPr>
                <w:b/>
              </w:rPr>
              <w:t>Online resources are available:</w:t>
            </w:r>
          </w:p>
        </w:tc>
        <w:tc>
          <w:tcPr>
            <w:tcW w:w="8799" w:type="dxa"/>
            <w:hideMark/>
          </w:tcPr>
          <w:p w:rsidR="00A32898" w:rsidRDefault="00A32898" w:rsidP="00337D37">
            <w:hyperlink r:id="rId9" w:history="1">
              <w:r w:rsidRPr="006A200C">
                <w:rPr>
                  <w:rStyle w:val="Hyperlink"/>
                </w:rPr>
                <w:t>http://checkandconnect.umn.edu/</w:t>
              </w:r>
            </w:hyperlink>
            <w:r>
              <w:t xml:space="preserve"> provides additional information including supporting research and implementation details.</w:t>
            </w:r>
          </w:p>
        </w:tc>
      </w:tr>
    </w:tbl>
    <w:p w:rsidR="00BB234B" w:rsidRDefault="00BB234B" w:rsidP="00D6552B"/>
    <w:sectPr w:rsidR="00BB234B" w:rsidSect="00A32898">
      <w:pgSz w:w="12240" w:h="15840"/>
      <w:pgMar w:top="450" w:right="72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1685"/>
    <w:multiLevelType w:val="hybridMultilevel"/>
    <w:tmpl w:val="5EEA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F276DE"/>
    <w:multiLevelType w:val="hybridMultilevel"/>
    <w:tmpl w:val="19ECC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4B3B11"/>
    <w:multiLevelType w:val="hybridMultilevel"/>
    <w:tmpl w:val="7B76F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EB"/>
    <w:rsid w:val="000E2A36"/>
    <w:rsid w:val="00112DF0"/>
    <w:rsid w:val="00120E2E"/>
    <w:rsid w:val="001F4B63"/>
    <w:rsid w:val="002127CB"/>
    <w:rsid w:val="00283EEB"/>
    <w:rsid w:val="003422E7"/>
    <w:rsid w:val="00685015"/>
    <w:rsid w:val="008E062A"/>
    <w:rsid w:val="00997D1F"/>
    <w:rsid w:val="00A32898"/>
    <w:rsid w:val="00A34CDC"/>
    <w:rsid w:val="00A56F24"/>
    <w:rsid w:val="00AE7630"/>
    <w:rsid w:val="00BA21C2"/>
    <w:rsid w:val="00BB234B"/>
    <w:rsid w:val="00C2332A"/>
    <w:rsid w:val="00C56C12"/>
    <w:rsid w:val="00D6552B"/>
    <w:rsid w:val="00E462B8"/>
    <w:rsid w:val="00EE7F95"/>
    <w:rsid w:val="00FB5628"/>
    <w:rsid w:val="00FD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3EEB"/>
    <w:pPr>
      <w:ind w:left="720"/>
      <w:contextualSpacing/>
    </w:pPr>
  </w:style>
  <w:style w:type="paragraph" w:styleId="BalloonText">
    <w:name w:val="Balloon Text"/>
    <w:basedOn w:val="Normal"/>
    <w:link w:val="BalloonTextChar"/>
    <w:uiPriority w:val="99"/>
    <w:semiHidden/>
    <w:unhideWhenUsed/>
    <w:rsid w:val="00212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CB"/>
    <w:rPr>
      <w:rFonts w:ascii="Tahoma" w:hAnsi="Tahoma" w:cs="Tahoma"/>
      <w:sz w:val="16"/>
      <w:szCs w:val="16"/>
    </w:rPr>
  </w:style>
  <w:style w:type="character" w:styleId="Strong">
    <w:name w:val="Strong"/>
    <w:basedOn w:val="DefaultParagraphFont"/>
    <w:uiPriority w:val="22"/>
    <w:qFormat/>
    <w:rsid w:val="00A56F24"/>
    <w:rPr>
      <w:b/>
      <w:bCs/>
    </w:rPr>
  </w:style>
  <w:style w:type="character" w:styleId="Hyperlink">
    <w:name w:val="Hyperlink"/>
    <w:basedOn w:val="DefaultParagraphFont"/>
    <w:uiPriority w:val="99"/>
    <w:unhideWhenUsed/>
    <w:rsid w:val="00A56F24"/>
    <w:rPr>
      <w:color w:val="0000FF" w:themeColor="hyperlink"/>
      <w:u w:val="single"/>
    </w:rPr>
  </w:style>
  <w:style w:type="character" w:styleId="Emphasis">
    <w:name w:val="Emphasis"/>
    <w:basedOn w:val="DefaultParagraphFont"/>
    <w:uiPriority w:val="20"/>
    <w:qFormat/>
    <w:rsid w:val="00A56F24"/>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3EEB"/>
    <w:pPr>
      <w:ind w:left="720"/>
      <w:contextualSpacing/>
    </w:pPr>
  </w:style>
  <w:style w:type="paragraph" w:styleId="BalloonText">
    <w:name w:val="Balloon Text"/>
    <w:basedOn w:val="Normal"/>
    <w:link w:val="BalloonTextChar"/>
    <w:uiPriority w:val="99"/>
    <w:semiHidden/>
    <w:unhideWhenUsed/>
    <w:rsid w:val="00212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CB"/>
    <w:rPr>
      <w:rFonts w:ascii="Tahoma" w:hAnsi="Tahoma" w:cs="Tahoma"/>
      <w:sz w:val="16"/>
      <w:szCs w:val="16"/>
    </w:rPr>
  </w:style>
  <w:style w:type="character" w:styleId="Strong">
    <w:name w:val="Strong"/>
    <w:basedOn w:val="DefaultParagraphFont"/>
    <w:uiPriority w:val="22"/>
    <w:qFormat/>
    <w:rsid w:val="00A56F24"/>
    <w:rPr>
      <w:b/>
      <w:bCs/>
    </w:rPr>
  </w:style>
  <w:style w:type="character" w:styleId="Hyperlink">
    <w:name w:val="Hyperlink"/>
    <w:basedOn w:val="DefaultParagraphFont"/>
    <w:uiPriority w:val="99"/>
    <w:unhideWhenUsed/>
    <w:rsid w:val="00A56F24"/>
    <w:rPr>
      <w:color w:val="0000FF" w:themeColor="hyperlink"/>
      <w:u w:val="single"/>
    </w:rPr>
  </w:style>
  <w:style w:type="character" w:styleId="Emphasis">
    <w:name w:val="Emphasis"/>
    <w:basedOn w:val="DefaultParagraphFont"/>
    <w:uiPriority w:val="20"/>
    <w:qFormat/>
    <w:rsid w:val="00A56F24"/>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pbs.org/inservice/files/organization-check-up-module.pdf" TargetMode="External"/><Relationship Id="rId3" Type="http://schemas.microsoft.com/office/2007/relationships/stylesWithEffects" Target="stylesWithEffects.xml"/><Relationship Id="rId7" Type="http://schemas.openxmlformats.org/officeDocument/2006/relationships/image" Target="cid:image003.png@01CE7E38.3BC38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heckandconnect.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dc:creator>
  <cp:lastModifiedBy>hearn</cp:lastModifiedBy>
  <cp:revision>13</cp:revision>
  <dcterms:created xsi:type="dcterms:W3CDTF">2013-07-25T16:29:00Z</dcterms:created>
  <dcterms:modified xsi:type="dcterms:W3CDTF">2013-08-05T15:14:00Z</dcterms:modified>
</cp:coreProperties>
</file>