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4E" w:rsidRP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Gill Sans MT" w:hAnsi="Gill Sans MT"/>
          <w:b/>
          <w:color w:val="000000"/>
          <w:sz w:val="48"/>
          <w:szCs w:val="2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0424E">
        <w:rPr>
          <w:rFonts w:ascii="Gill Sans MT" w:hAnsi="Gill Sans MT"/>
          <w:b/>
          <w:color w:val="000000"/>
          <w:sz w:val="48"/>
          <w:szCs w:val="20"/>
          <w14:textOutline w14:w="635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Social-Emotional Learning in the Curriculum</w:t>
      </w: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Gill Sans MT" w:hAnsi="Gill Sans MT"/>
          <w:i/>
          <w:color w:val="000000"/>
          <w:sz w:val="32"/>
          <w:szCs w:val="20"/>
        </w:rPr>
      </w:pPr>
      <w:r w:rsidRPr="0000424E">
        <w:rPr>
          <w:rFonts w:ascii="Gill Sans MT" w:hAnsi="Gill Sans MT"/>
          <w:i/>
          <w:noProof/>
          <w:color w:val="00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81775" cy="9429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4E" w:rsidRPr="0000424E" w:rsidRDefault="0000424E" w:rsidP="000042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</w:pP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Incorporating social-emotional learning in school does not necessarily mean that a new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social skills </w:t>
                            </w: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curriculum needs to be implemented. Instead, it can (and should) be brought into pre-existing lessons, such as through literature read in English class or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in </w:t>
                            </w: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social studies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.</w:t>
                            </w:r>
                            <w:r w:rsidRPr="0000424E"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An example is provided below.</w:t>
                            </w:r>
                          </w:p>
                          <w:p w:rsidR="0000424E" w:rsidRDefault="000042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8.25pt;height:74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" fillcolor="#d8d8d8 [2732]" strokeweight="2.25pt">
                <v:textbox>
                  <w:txbxContent>
                    <w:p w:rsidR="0000424E" w:rsidRPr="0000424E" w:rsidRDefault="0000424E" w:rsidP="000042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</w:pP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Incorporating social-emotional learning in school does not necessarily mean that a new 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social skills </w:t>
                      </w: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curriculum needs to be implemented. Instead, it can (and should) be brought into pre-existing lessons, such as through literature read in English class or 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in </w:t>
                      </w: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social studies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.</w:t>
                      </w:r>
                      <w:r w:rsidRPr="0000424E"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An example is provided below.</w:t>
                      </w:r>
                    </w:p>
                    <w:p w:rsidR="0000424E" w:rsidRDefault="0000424E"/>
                  </w:txbxContent>
                </v:textbox>
              </v:shape>
            </w:pict>
          </mc:Fallback>
        </mc:AlternateContent>
      </w: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520"/>
        <w:gridCol w:w="2563"/>
        <w:gridCol w:w="5177"/>
      </w:tblGrid>
      <w:tr w:rsidR="001B3ADF" w:rsidRPr="0000424E" w:rsidTr="001B3ADF">
        <w:trPr>
          <w:trHeight w:val="908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00424E" w:rsidRPr="00F03D9A" w:rsidRDefault="0000424E" w:rsidP="00F03D9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 w:rsidRPr="00F03D9A"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Content Standard</w:t>
            </w:r>
          </w:p>
        </w:tc>
        <w:tc>
          <w:tcPr>
            <w:tcW w:w="2563" w:type="dxa"/>
            <w:shd w:val="clear" w:color="auto" w:fill="F2F2F2" w:themeFill="background1" w:themeFillShade="F2"/>
            <w:vAlign w:val="center"/>
          </w:tcPr>
          <w:p w:rsidR="0000424E" w:rsidRPr="00F03D9A" w:rsidRDefault="00F03D9A" w:rsidP="00F03D9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Pre-existing Lesson</w:t>
            </w:r>
          </w:p>
        </w:tc>
        <w:tc>
          <w:tcPr>
            <w:tcW w:w="5177" w:type="dxa"/>
            <w:shd w:val="clear" w:color="auto" w:fill="F2F2F2" w:themeFill="background1" w:themeFillShade="F2"/>
            <w:vAlign w:val="center"/>
          </w:tcPr>
          <w:p w:rsidR="0000424E" w:rsidRPr="00F03D9A" w:rsidRDefault="00F03D9A" w:rsidP="00F03D9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Social-Emotional Learning Tie-In</w:t>
            </w:r>
          </w:p>
        </w:tc>
      </w:tr>
      <w:tr w:rsidR="001B3ADF" w:rsidRPr="0000424E" w:rsidTr="001B3ADF">
        <w:trPr>
          <w:trHeight w:val="3680"/>
        </w:trPr>
        <w:tc>
          <w:tcPr>
            <w:tcW w:w="2520" w:type="dxa"/>
          </w:tcPr>
          <w:p w:rsidR="00F03D9A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Cs w:val="20"/>
              </w:rPr>
            </w:pPr>
          </w:p>
          <w:p w:rsidR="00F03D9A" w:rsidRPr="00F03D9A" w:rsidRDefault="0000424E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Cs w:val="20"/>
              </w:rPr>
            </w:pPr>
            <w:r w:rsidRPr="00F03D9A">
              <w:rPr>
                <w:rFonts w:ascii="Gill Sans MT" w:hAnsi="Gill Sans MT"/>
                <w:color w:val="000000"/>
                <w:szCs w:val="20"/>
              </w:rPr>
              <w:t>Analyze how complex characters (e.g., those with multiple or conflicting motivations) develop over the course of a text, interact with other characters, and advance the plot or develop the theme.</w:t>
            </w:r>
          </w:p>
          <w:p w:rsidR="00F03D9A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Cs w:val="20"/>
              </w:rPr>
            </w:pPr>
          </w:p>
          <w:p w:rsidR="0000424E" w:rsidRPr="0000424E" w:rsidRDefault="0000424E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  <w:r w:rsidRPr="0000424E">
              <w:rPr>
                <w:rFonts w:ascii="Gill Sans MT" w:hAnsi="Gill Sans MT"/>
                <w:i/>
                <w:color w:val="000000"/>
                <w:sz w:val="22"/>
                <w:szCs w:val="20"/>
              </w:rPr>
              <w:t>(Grades 9-10, Common Core State Standards, English Language Arts, Reading Standards for Literature)</w:t>
            </w:r>
            <w:r w:rsidRPr="0000424E">
              <w:rPr>
                <w:rFonts w:ascii="Gill Sans MT" w:hAnsi="Gill Sans MT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2563" w:type="dxa"/>
          </w:tcPr>
          <w:p w:rsidR="00F03D9A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Cs w:val="20"/>
              </w:rPr>
            </w:pPr>
          </w:p>
          <w:p w:rsidR="0000424E" w:rsidRPr="0000424E" w:rsidRDefault="00F03D9A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>Students are reading Romeo and Juliet, and the class is discussing how the characters interact with one another throughout the play.</w:t>
            </w:r>
          </w:p>
        </w:tc>
        <w:tc>
          <w:tcPr>
            <w:tcW w:w="5177" w:type="dxa"/>
          </w:tcPr>
          <w:p w:rsidR="0000424E" w:rsidRDefault="0000424E" w:rsidP="00F03D9A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</w:p>
          <w:p w:rsidR="00F03D9A" w:rsidRDefault="00F03D9A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When leading the class discussion, the teacher can </w:t>
            </w:r>
            <w:r w:rsidR="001B3ADF">
              <w:rPr>
                <w:rFonts w:ascii="Gill Sans MT" w:hAnsi="Gill Sans MT"/>
                <w:color w:val="000000"/>
                <w:szCs w:val="20"/>
              </w:rPr>
              <w:t>engage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students</w:t>
            </w:r>
            <w:r w:rsidR="001B3ADF">
              <w:rPr>
                <w:rFonts w:ascii="Gill Sans MT" w:hAnsi="Gill Sans MT"/>
                <w:color w:val="000000"/>
                <w:szCs w:val="20"/>
              </w:rPr>
              <w:t xml:space="preserve"> in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</w:t>
            </w:r>
            <w:r w:rsidR="001B3ADF">
              <w:rPr>
                <w:rFonts w:ascii="Gill Sans MT" w:hAnsi="Gill Sans MT"/>
                <w:color w:val="000000"/>
                <w:szCs w:val="20"/>
              </w:rPr>
              <w:t>topics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such as:</w:t>
            </w:r>
          </w:p>
          <w:p w:rsidR="00F03D9A" w:rsidRDefault="00F03D9A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>H</w:t>
            </w:r>
            <w:r w:rsidRPr="00F03D9A">
              <w:rPr>
                <w:rFonts w:ascii="Gill Sans MT" w:hAnsi="Gill Sans MT"/>
                <w:color w:val="000000"/>
                <w:szCs w:val="20"/>
              </w:rPr>
              <w:t>ow the characters must have felt in the different situations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</w:t>
            </w:r>
            <w:r w:rsidRPr="00F03D9A">
              <w:rPr>
                <w:rFonts w:ascii="Gill Sans MT" w:hAnsi="Gill Sans MT"/>
                <w:i/>
                <w:color w:val="000000"/>
                <w:szCs w:val="20"/>
              </w:rPr>
              <w:t>(e.g. “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 xml:space="preserve">How do you think Juliet felt when </w:t>
            </w:r>
            <w:r w:rsidR="001B3ADF">
              <w:rPr>
                <w:rFonts w:ascii="Gill Sans MT" w:hAnsi="Gill Sans MT"/>
                <w:i/>
                <w:color w:val="000000"/>
                <w:szCs w:val="20"/>
              </w:rPr>
              <w:t>discovering that Romeo had died?”)</w:t>
            </w:r>
          </w:p>
          <w:p w:rsidR="001B3ADF" w:rsidRPr="001B3ADF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>W</w:t>
            </w:r>
            <w:r w:rsidR="00F03D9A" w:rsidRPr="00F03D9A">
              <w:rPr>
                <w:rFonts w:ascii="Gill Sans MT" w:hAnsi="Gill Sans MT"/>
                <w:color w:val="000000"/>
                <w:szCs w:val="20"/>
              </w:rPr>
              <w:t xml:space="preserve">hat might have 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caused or </w:t>
            </w:r>
            <w:r w:rsidR="00F03D9A" w:rsidRPr="00F03D9A">
              <w:rPr>
                <w:rFonts w:ascii="Gill Sans MT" w:hAnsi="Gill Sans MT"/>
                <w:color w:val="000000"/>
                <w:szCs w:val="20"/>
              </w:rPr>
              <w:t>motivated the</w:t>
            </w:r>
            <w:r>
              <w:rPr>
                <w:rFonts w:ascii="Gill Sans MT" w:hAnsi="Gill Sans MT"/>
                <w:color w:val="000000"/>
                <w:szCs w:val="20"/>
              </w:rPr>
              <w:t xml:space="preserve"> characters to act in particular ways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“What happened that caused Romeo to kill Tybalt?”)</w:t>
            </w:r>
          </w:p>
          <w:p w:rsidR="00F03D9A" w:rsidRPr="001B3ADF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What characters may have been thinking at certain points in the story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“What was going through Romeo’s head when he discovered that Juliet was a Capulet?”)</w:t>
            </w:r>
          </w:p>
          <w:p w:rsidR="001B3ADF" w:rsidRPr="001B3ADF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Alternative actions or decisions that characters ought to have pursued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“Instead of challenging Romeo to a duel, what are other options that Tybalt had?”)</w:t>
            </w:r>
          </w:p>
          <w:p w:rsidR="001B3ADF" w:rsidRPr="00F03D9A" w:rsidRDefault="001B3ADF" w:rsidP="001B3A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contextualSpacing w:val="0"/>
              <w:rPr>
                <w:rFonts w:ascii="Gill Sans MT" w:hAnsi="Gill Sans MT"/>
                <w:color w:val="000000"/>
                <w:szCs w:val="20"/>
              </w:rPr>
            </w:pPr>
            <w:r>
              <w:rPr>
                <w:rFonts w:ascii="Gill Sans MT" w:hAnsi="Gill Sans MT"/>
                <w:color w:val="000000"/>
                <w:szCs w:val="20"/>
              </w:rPr>
              <w:t xml:space="preserve">What consequences resulted from characters’ decisions in the story </w:t>
            </w:r>
            <w:r>
              <w:rPr>
                <w:rFonts w:ascii="Gill Sans MT" w:hAnsi="Gill Sans MT"/>
                <w:i/>
                <w:color w:val="000000"/>
                <w:szCs w:val="20"/>
              </w:rPr>
              <w:t>(e.g. “Because Tybalt challenged Romeo to a duel, what happened? What might have happened if Tybalt chose another action instead?”)</w:t>
            </w:r>
          </w:p>
        </w:tc>
      </w:tr>
    </w:tbl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  <w:bookmarkStart w:id="0" w:name="_GoBack"/>
      <w:bookmarkEnd w:id="0"/>
    </w:p>
    <w:p w:rsidR="001B3ADF" w:rsidRPr="0000424E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Gill Sans MT" w:hAnsi="Gill Sans MT"/>
          <w:b/>
          <w:color w:val="000000"/>
          <w:sz w:val="48"/>
          <w:szCs w:val="2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ill Sans MT" w:hAnsi="Gill Sans MT"/>
          <w:b/>
          <w:color w:val="000000"/>
          <w:sz w:val="48"/>
          <w:szCs w:val="20"/>
          <w14:textOutline w14:w="635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Action Planning</w:t>
      </w: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Gill Sans MT" w:hAnsi="Gill Sans MT"/>
          <w:i/>
          <w:color w:val="000000"/>
          <w:sz w:val="32"/>
          <w:szCs w:val="20"/>
        </w:rPr>
      </w:pPr>
      <w:r w:rsidRPr="0000424E">
        <w:rPr>
          <w:rFonts w:ascii="Gill Sans MT" w:hAnsi="Gill Sans MT"/>
          <w:i/>
          <w:noProof/>
          <w:color w:val="00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18C83" wp14:editId="6BF82C4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81775" cy="695325"/>
                <wp:effectExtent l="19050" t="1905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DF" w:rsidRPr="001B3ADF" w:rsidRDefault="001B3ADF" w:rsidP="001B3A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/>
                                <w:sz w:val="28"/>
                                <w:szCs w:val="20"/>
                              </w:rPr>
                              <w:t>Choose a lesson that you currently teach to students. How can you tie in social-emotional learning? What questions can you ask students or what activities can you ask them to complete to help enhance these skills?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18.25pt;height:54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" fillcolor="#d8d8d8 [2732]" strokeweight="2.25pt">
                <v:textbox>
                  <w:txbxContent>
                    <w:p w:rsidR="001B3ADF" w:rsidRPr="001B3ADF" w:rsidRDefault="001B3ADF" w:rsidP="001B3A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/>
                          <w:sz w:val="28"/>
                          <w:szCs w:val="20"/>
                        </w:rPr>
                        <w:t>Choose a lesson that you currently teach to students. How can you tie in social-emotional learning? What questions can you ask students or what activities can you ask them to complete to help enhance these skills?</w:t>
                      </w:r>
                    </w:p>
                  </w:txbxContent>
                </v:textbox>
              </v:shape>
            </w:pict>
          </mc:Fallback>
        </mc:AlternateContent>
      </w: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000000"/>
          <w:sz w:val="32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1B3ADF" w:rsidRDefault="001B3ADF" w:rsidP="001B3ADF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520"/>
        <w:gridCol w:w="2563"/>
        <w:gridCol w:w="5177"/>
      </w:tblGrid>
      <w:tr w:rsidR="001B3ADF" w:rsidRPr="0000424E" w:rsidTr="00144DD5">
        <w:trPr>
          <w:trHeight w:val="908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1B3ADF" w:rsidRPr="00F03D9A" w:rsidRDefault="001B3ADF" w:rsidP="00144DD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 w:rsidRPr="00F03D9A"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Content Standard</w:t>
            </w:r>
          </w:p>
        </w:tc>
        <w:tc>
          <w:tcPr>
            <w:tcW w:w="2563" w:type="dxa"/>
            <w:shd w:val="clear" w:color="auto" w:fill="F2F2F2" w:themeFill="background1" w:themeFillShade="F2"/>
            <w:vAlign w:val="center"/>
          </w:tcPr>
          <w:p w:rsidR="001B3ADF" w:rsidRPr="00F03D9A" w:rsidRDefault="001B3ADF" w:rsidP="00144DD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Pre-existing Lesson</w:t>
            </w:r>
          </w:p>
        </w:tc>
        <w:tc>
          <w:tcPr>
            <w:tcW w:w="5177" w:type="dxa"/>
            <w:shd w:val="clear" w:color="auto" w:fill="F2F2F2" w:themeFill="background1" w:themeFillShade="F2"/>
            <w:vAlign w:val="center"/>
          </w:tcPr>
          <w:p w:rsidR="001B3ADF" w:rsidRPr="00F03D9A" w:rsidRDefault="001B3ADF" w:rsidP="00144DD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</w:pPr>
            <w:r>
              <w:rPr>
                <w:rFonts w:ascii="Gill Sans MT" w:hAnsi="Gill Sans MT"/>
                <w:b/>
                <w:smallCaps/>
                <w:color w:val="000000"/>
                <w:sz w:val="32"/>
                <w:szCs w:val="20"/>
              </w:rPr>
              <w:t>Social-Emotional Learning Tie-In</w:t>
            </w:r>
          </w:p>
        </w:tc>
      </w:tr>
      <w:tr w:rsidR="001B3ADF" w:rsidRPr="0000424E" w:rsidTr="00144DD5">
        <w:trPr>
          <w:trHeight w:val="3680"/>
        </w:trPr>
        <w:tc>
          <w:tcPr>
            <w:tcW w:w="2520" w:type="dxa"/>
          </w:tcPr>
          <w:p w:rsidR="001B3ADF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color w:val="000000"/>
                <w:szCs w:val="20"/>
              </w:rPr>
            </w:pPr>
          </w:p>
          <w:p w:rsidR="001B3ADF" w:rsidRPr="0000424E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  <w:r w:rsidRPr="0000424E">
              <w:rPr>
                <w:rFonts w:ascii="Gill Sans MT" w:hAnsi="Gill Sans MT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563" w:type="dxa"/>
          </w:tcPr>
          <w:p w:rsidR="001B3ADF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Pr="0000424E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</w:p>
        </w:tc>
        <w:tc>
          <w:tcPr>
            <w:tcW w:w="5177" w:type="dxa"/>
          </w:tcPr>
          <w:p w:rsidR="001B3ADF" w:rsidRDefault="001B3ADF" w:rsidP="00144DD5">
            <w:p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  <w:p w:rsidR="001B3ADF" w:rsidRPr="001B3ADF" w:rsidRDefault="001B3ADF" w:rsidP="001B3ADF">
            <w:pPr>
              <w:autoSpaceDE w:val="0"/>
              <w:autoSpaceDN w:val="0"/>
              <w:adjustRightInd w:val="0"/>
              <w:spacing w:after="240"/>
              <w:rPr>
                <w:rFonts w:ascii="Gill Sans MT" w:hAnsi="Gill Sans MT"/>
                <w:color w:val="000000"/>
                <w:szCs w:val="20"/>
              </w:rPr>
            </w:pPr>
          </w:p>
        </w:tc>
      </w:tr>
    </w:tbl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00424E" w:rsidRDefault="0000424E" w:rsidP="0000424E">
      <w:pPr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20"/>
          <w:szCs w:val="20"/>
        </w:rPr>
      </w:pPr>
    </w:p>
    <w:p w:rsidR="00837461" w:rsidRDefault="00837461"/>
    <w:sectPr w:rsidR="00837461" w:rsidSect="001B3AD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08" w:rsidRDefault="00963D08" w:rsidP="00963D08">
      <w:pPr>
        <w:spacing w:after="0" w:line="240" w:lineRule="auto"/>
      </w:pPr>
      <w:r>
        <w:separator/>
      </w:r>
    </w:p>
  </w:endnote>
  <w:endnote w:type="continuationSeparator" w:id="0">
    <w:p w:rsidR="00963D08" w:rsidRDefault="00963D08" w:rsidP="0096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08" w:rsidRDefault="00963D08">
    <w:pPr>
      <w:pStyle w:val="Footer"/>
    </w:pPr>
    <w:r>
      <w:rPr>
        <w:noProof/>
      </w:rPr>
      <w:drawing>
        <wp:inline distT="0" distB="0" distL="0" distR="0" wp14:anchorId="591DC16F" wp14:editId="6592A2D4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08" w:rsidRDefault="00963D08" w:rsidP="00963D08">
      <w:pPr>
        <w:spacing w:after="0" w:line="240" w:lineRule="auto"/>
      </w:pPr>
      <w:r>
        <w:separator/>
      </w:r>
    </w:p>
  </w:footnote>
  <w:footnote w:type="continuationSeparator" w:id="0">
    <w:p w:rsidR="00963D08" w:rsidRDefault="00963D08" w:rsidP="0096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3D5C"/>
    <w:multiLevelType w:val="hybridMultilevel"/>
    <w:tmpl w:val="7124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4E"/>
    <w:rsid w:val="0000424E"/>
    <w:rsid w:val="001B3ADF"/>
    <w:rsid w:val="00837461"/>
    <w:rsid w:val="00963D08"/>
    <w:rsid w:val="00F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4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4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0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6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08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4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4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0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6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0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Angela Harris</cp:lastModifiedBy>
  <cp:revision>2</cp:revision>
  <dcterms:created xsi:type="dcterms:W3CDTF">2013-11-06T16:59:00Z</dcterms:created>
  <dcterms:modified xsi:type="dcterms:W3CDTF">2016-06-28T15:48:00Z</dcterms:modified>
</cp:coreProperties>
</file>