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65176" w14:textId="77777777" w:rsidR="00EA7DB2" w:rsidRPr="00EA7DB2" w:rsidRDefault="00EA7DB2" w:rsidP="00EA7DB2">
      <w:pPr>
        <w:jc w:val="center"/>
        <w:rPr>
          <w:b/>
          <w:sz w:val="28"/>
          <w:szCs w:val="28"/>
        </w:rPr>
      </w:pPr>
      <w:r w:rsidRPr="00EA7DB2">
        <w:rPr>
          <w:b/>
          <w:sz w:val="28"/>
          <w:szCs w:val="28"/>
        </w:rPr>
        <w:t>Help</w:t>
      </w:r>
      <w:r>
        <w:rPr>
          <w:b/>
          <w:sz w:val="28"/>
          <w:szCs w:val="28"/>
        </w:rPr>
        <w:t>ing Schools to Be Strategic By Employing Tier 2 Decision Rules</w:t>
      </w:r>
    </w:p>
    <w:p w14:paraId="706FEE83" w14:textId="77777777" w:rsidR="00EA7DB2" w:rsidRPr="00EA7DB2" w:rsidRDefault="00EA7DB2" w:rsidP="00AB10A0">
      <w:pPr>
        <w:spacing w:after="0" w:line="240" w:lineRule="auto"/>
        <w:jc w:val="center"/>
        <w:rPr>
          <w:b/>
          <w:sz w:val="24"/>
          <w:szCs w:val="24"/>
        </w:rPr>
      </w:pPr>
      <w:r w:rsidRPr="00EA7DB2">
        <w:rPr>
          <w:b/>
          <w:sz w:val="24"/>
          <w:szCs w:val="24"/>
        </w:rPr>
        <w:t>The IN-ON-OUT Diagramming Activity</w:t>
      </w:r>
      <w:r w:rsidR="00AB10A0">
        <w:rPr>
          <w:b/>
          <w:sz w:val="24"/>
          <w:szCs w:val="24"/>
        </w:rPr>
        <w:t xml:space="preserve"> </w:t>
      </w:r>
    </w:p>
    <w:p w14:paraId="111DFED8" w14:textId="77777777" w:rsidR="00EA7DB2" w:rsidRDefault="00EA7DB2" w:rsidP="00EA7DB2">
      <w:pPr>
        <w:spacing w:after="0" w:line="240" w:lineRule="auto"/>
        <w:jc w:val="center"/>
        <w:rPr>
          <w:b/>
        </w:rPr>
      </w:pPr>
    </w:p>
    <w:tbl>
      <w:tblPr>
        <w:tblStyle w:val="TableGrid"/>
        <w:tblW w:w="14580" w:type="dxa"/>
        <w:tblInd w:w="-725" w:type="dxa"/>
        <w:tblLook w:val="04A0" w:firstRow="1" w:lastRow="0" w:firstColumn="1" w:lastColumn="0" w:noHBand="0" w:noVBand="1"/>
      </w:tblPr>
      <w:tblGrid>
        <w:gridCol w:w="4860"/>
        <w:gridCol w:w="4860"/>
        <w:gridCol w:w="4860"/>
      </w:tblGrid>
      <w:tr w:rsidR="00EA7DB2" w14:paraId="03B8E2F6" w14:textId="77777777" w:rsidTr="00AB10A0">
        <w:trPr>
          <w:trHeight w:val="260"/>
        </w:trPr>
        <w:tc>
          <w:tcPr>
            <w:tcW w:w="4860" w:type="dxa"/>
            <w:tcBorders>
              <w:top w:val="single" w:sz="18" w:space="0" w:color="auto"/>
              <w:left w:val="single" w:sz="18" w:space="0" w:color="auto"/>
              <w:bottom w:val="single" w:sz="18" w:space="0" w:color="auto"/>
              <w:right w:val="single" w:sz="8" w:space="0" w:color="auto"/>
            </w:tcBorders>
            <w:shd w:val="clear" w:color="auto" w:fill="EDEDED" w:themeFill="accent3" w:themeFillTint="33"/>
            <w:vAlign w:val="center"/>
          </w:tcPr>
          <w:p w14:paraId="46C663A2" w14:textId="77777777" w:rsidR="00EA7DB2" w:rsidRPr="00EA7DB2" w:rsidRDefault="00EA7DB2" w:rsidP="00EA7DB2">
            <w:pPr>
              <w:jc w:val="center"/>
              <w:rPr>
                <w:b/>
                <w:sz w:val="32"/>
                <w:szCs w:val="32"/>
              </w:rPr>
            </w:pPr>
            <w:r w:rsidRPr="00EA7DB2">
              <w:rPr>
                <w:b/>
                <w:sz w:val="32"/>
                <w:szCs w:val="32"/>
              </w:rPr>
              <w:t>IN</w:t>
            </w:r>
          </w:p>
        </w:tc>
        <w:tc>
          <w:tcPr>
            <w:tcW w:w="4860" w:type="dxa"/>
            <w:tcBorders>
              <w:top w:val="single" w:sz="18" w:space="0" w:color="auto"/>
              <w:left w:val="single" w:sz="8" w:space="0" w:color="auto"/>
              <w:bottom w:val="single" w:sz="18" w:space="0" w:color="auto"/>
              <w:right w:val="single" w:sz="8" w:space="0" w:color="auto"/>
            </w:tcBorders>
            <w:shd w:val="clear" w:color="auto" w:fill="EDEDED" w:themeFill="accent3" w:themeFillTint="33"/>
            <w:vAlign w:val="center"/>
          </w:tcPr>
          <w:p w14:paraId="43E91C69" w14:textId="77777777" w:rsidR="00EA7DB2" w:rsidRPr="00EA7DB2" w:rsidRDefault="00EA7DB2" w:rsidP="00EA7DB2">
            <w:pPr>
              <w:jc w:val="center"/>
              <w:rPr>
                <w:b/>
                <w:sz w:val="32"/>
                <w:szCs w:val="32"/>
              </w:rPr>
            </w:pPr>
            <w:r w:rsidRPr="00EA7DB2">
              <w:rPr>
                <w:b/>
                <w:sz w:val="32"/>
                <w:szCs w:val="32"/>
              </w:rPr>
              <w:t>ON</w:t>
            </w:r>
          </w:p>
        </w:tc>
        <w:tc>
          <w:tcPr>
            <w:tcW w:w="4860" w:type="dxa"/>
            <w:tcBorders>
              <w:top w:val="single" w:sz="18" w:space="0" w:color="auto"/>
              <w:left w:val="single" w:sz="8" w:space="0" w:color="auto"/>
              <w:bottom w:val="single" w:sz="18" w:space="0" w:color="auto"/>
              <w:right w:val="single" w:sz="18" w:space="0" w:color="auto"/>
            </w:tcBorders>
            <w:shd w:val="clear" w:color="auto" w:fill="EDEDED" w:themeFill="accent3" w:themeFillTint="33"/>
            <w:vAlign w:val="center"/>
          </w:tcPr>
          <w:p w14:paraId="60F3CAD3" w14:textId="77777777" w:rsidR="00EA7DB2" w:rsidRPr="00EA7DB2" w:rsidRDefault="00EA7DB2" w:rsidP="00EA7DB2">
            <w:pPr>
              <w:jc w:val="center"/>
              <w:rPr>
                <w:b/>
                <w:sz w:val="32"/>
                <w:szCs w:val="32"/>
              </w:rPr>
            </w:pPr>
            <w:r w:rsidRPr="00EA7DB2">
              <w:rPr>
                <w:b/>
                <w:sz w:val="32"/>
                <w:szCs w:val="32"/>
              </w:rPr>
              <w:t>OUT</w:t>
            </w:r>
          </w:p>
        </w:tc>
      </w:tr>
      <w:tr w:rsidR="00EA7DB2" w14:paraId="55E67243" w14:textId="77777777" w:rsidTr="00AB10A0">
        <w:trPr>
          <w:trHeight w:val="1575"/>
        </w:trPr>
        <w:tc>
          <w:tcPr>
            <w:tcW w:w="4860" w:type="dxa"/>
            <w:tcBorders>
              <w:top w:val="single" w:sz="18" w:space="0" w:color="auto"/>
              <w:left w:val="single" w:sz="18" w:space="0" w:color="auto"/>
              <w:bottom w:val="single" w:sz="18" w:space="0" w:color="auto"/>
              <w:right w:val="single" w:sz="8" w:space="0" w:color="auto"/>
            </w:tcBorders>
            <w:shd w:val="clear" w:color="auto" w:fill="EDEDED" w:themeFill="accent3" w:themeFillTint="33"/>
            <w:vAlign w:val="center"/>
          </w:tcPr>
          <w:p w14:paraId="66E7B6D4" w14:textId="77777777" w:rsidR="00EA7DB2" w:rsidRPr="00EA7DB2" w:rsidRDefault="00EA7DB2" w:rsidP="00AB47F4">
            <w:pPr>
              <w:jc w:val="center"/>
            </w:pPr>
            <w:r w:rsidRPr="00EA7DB2">
              <w:t>These are the decisions rules to put a student into a Tier 2 intervention. They can be linked to existing protocols</w:t>
            </w:r>
            <w:r w:rsidR="00AB47F4">
              <w:t>, screening tools, or referral systems</w:t>
            </w:r>
            <w:r w:rsidRPr="00EA7DB2">
              <w:t>.</w:t>
            </w:r>
          </w:p>
        </w:tc>
        <w:tc>
          <w:tcPr>
            <w:tcW w:w="4860" w:type="dxa"/>
            <w:tcBorders>
              <w:top w:val="single" w:sz="18" w:space="0" w:color="auto"/>
              <w:left w:val="single" w:sz="8" w:space="0" w:color="auto"/>
              <w:bottom w:val="single" w:sz="18" w:space="0" w:color="auto"/>
              <w:right w:val="single" w:sz="8" w:space="0" w:color="auto"/>
            </w:tcBorders>
            <w:shd w:val="clear" w:color="auto" w:fill="EDEDED" w:themeFill="accent3" w:themeFillTint="33"/>
            <w:vAlign w:val="center"/>
          </w:tcPr>
          <w:p w14:paraId="625DDD72" w14:textId="0BEC0A95" w:rsidR="00EA7DB2" w:rsidRPr="00EA7DB2" w:rsidRDefault="00EA7DB2" w:rsidP="00166974">
            <w:pPr>
              <w:jc w:val="center"/>
            </w:pPr>
            <w:r w:rsidRPr="00C753BF">
              <w:rPr>
                <w:color w:val="000000" w:themeColor="text1"/>
              </w:rPr>
              <w:t>These are the decisions rules to</w:t>
            </w:r>
            <w:r w:rsidR="00AB47F4" w:rsidRPr="00C753BF">
              <w:rPr>
                <w:color w:val="000000" w:themeColor="text1"/>
              </w:rPr>
              <w:t xml:space="preserve"> guide progress-monitoring (e.g.,</w:t>
            </w:r>
            <w:r w:rsidRPr="00C753BF">
              <w:rPr>
                <w:color w:val="000000" w:themeColor="text1"/>
              </w:rPr>
              <w:t xml:space="preserve"> </w:t>
            </w:r>
            <w:r w:rsidR="00166974" w:rsidRPr="00C753BF">
              <w:rPr>
                <w:color w:val="000000" w:themeColor="text1"/>
              </w:rPr>
              <w:t xml:space="preserve">to determine effectiveness and when to fade or transition a </w:t>
            </w:r>
            <w:r w:rsidRPr="00C753BF">
              <w:rPr>
                <w:color w:val="000000" w:themeColor="text1"/>
              </w:rPr>
              <w:t>Tier 2 intervention</w:t>
            </w:r>
            <w:r w:rsidR="00AB10A0" w:rsidRPr="00C753BF">
              <w:rPr>
                <w:color w:val="000000" w:themeColor="text1"/>
              </w:rPr>
              <w:t>)</w:t>
            </w:r>
            <w:r w:rsidRPr="00C753BF">
              <w:rPr>
                <w:color w:val="000000" w:themeColor="text1"/>
              </w:rPr>
              <w:t xml:space="preserve">. </w:t>
            </w:r>
            <w:r w:rsidRPr="00EA7DB2">
              <w:t>These rules should correspond to the anticipated outcomes for the intervention</w:t>
            </w:r>
            <w:r w:rsidR="00AB47F4">
              <w:t>.</w:t>
            </w:r>
          </w:p>
        </w:tc>
        <w:tc>
          <w:tcPr>
            <w:tcW w:w="4860" w:type="dxa"/>
            <w:tcBorders>
              <w:top w:val="single" w:sz="18" w:space="0" w:color="auto"/>
              <w:left w:val="single" w:sz="8" w:space="0" w:color="auto"/>
              <w:bottom w:val="single" w:sz="18" w:space="0" w:color="auto"/>
              <w:right w:val="single" w:sz="18" w:space="0" w:color="auto"/>
            </w:tcBorders>
            <w:shd w:val="clear" w:color="auto" w:fill="EDEDED" w:themeFill="accent3" w:themeFillTint="33"/>
            <w:vAlign w:val="center"/>
          </w:tcPr>
          <w:p w14:paraId="460556F9" w14:textId="77777777" w:rsidR="00EA7DB2" w:rsidRPr="00EA7DB2" w:rsidRDefault="00EA7DB2" w:rsidP="00AB47F4">
            <w:pPr>
              <w:jc w:val="center"/>
            </w:pPr>
            <w:r w:rsidRPr="00EA7DB2">
              <w:t>These are the decisions rules to determine when a student graduates from a Tier 2 intervention. These rules should correspond to the anticipated</w:t>
            </w:r>
            <w:r w:rsidR="00AB47F4">
              <w:t xml:space="preserve"> outcomes for the intervention.</w:t>
            </w:r>
          </w:p>
        </w:tc>
      </w:tr>
    </w:tbl>
    <w:p w14:paraId="04BA4C16" w14:textId="77777777" w:rsidR="00291DF1" w:rsidRDefault="00291DF1"/>
    <w:tbl>
      <w:tblPr>
        <w:tblStyle w:val="TableGrid"/>
        <w:tblW w:w="14550" w:type="dxa"/>
        <w:tblInd w:w="-725" w:type="dxa"/>
        <w:tblLook w:val="04A0" w:firstRow="1" w:lastRow="0" w:firstColumn="1" w:lastColumn="0" w:noHBand="0" w:noVBand="1"/>
      </w:tblPr>
      <w:tblGrid>
        <w:gridCol w:w="4850"/>
        <w:gridCol w:w="9700"/>
      </w:tblGrid>
      <w:tr w:rsidR="00AB10A0" w:rsidRPr="00AB10A0" w14:paraId="4272500D" w14:textId="77777777" w:rsidTr="00AB10A0">
        <w:trPr>
          <w:trHeight w:val="379"/>
        </w:trPr>
        <w:tc>
          <w:tcPr>
            <w:tcW w:w="14550" w:type="dxa"/>
            <w:gridSpan w:val="2"/>
            <w:tcBorders>
              <w:top w:val="single" w:sz="18" w:space="0" w:color="auto"/>
              <w:left w:val="single" w:sz="18" w:space="0" w:color="auto"/>
              <w:right w:val="single" w:sz="18" w:space="0" w:color="auto"/>
            </w:tcBorders>
            <w:shd w:val="clear" w:color="auto" w:fill="EDEDED" w:themeFill="accent3" w:themeFillTint="33"/>
            <w:vAlign w:val="center"/>
          </w:tcPr>
          <w:p w14:paraId="7A059000" w14:textId="77777777" w:rsidR="00AB10A0" w:rsidRPr="00AB10A0" w:rsidRDefault="00AB10A0" w:rsidP="00AB10A0">
            <w:pPr>
              <w:jc w:val="center"/>
              <w:rPr>
                <w:b/>
                <w:sz w:val="24"/>
                <w:szCs w:val="24"/>
              </w:rPr>
            </w:pPr>
            <w:r w:rsidRPr="00AB10A0">
              <w:rPr>
                <w:b/>
                <w:sz w:val="24"/>
                <w:szCs w:val="24"/>
              </w:rPr>
              <w:t>Links to the PBIS Tiered Fidelity Inventory Tier 2 components (Algozzine</w:t>
            </w:r>
            <w:bookmarkStart w:id="0" w:name="_GoBack"/>
            <w:bookmarkEnd w:id="0"/>
            <w:r w:rsidRPr="00AB10A0">
              <w:rPr>
                <w:b/>
                <w:sz w:val="24"/>
                <w:szCs w:val="24"/>
              </w:rPr>
              <w:t xml:space="preserve"> et al., 2014)</w:t>
            </w:r>
          </w:p>
        </w:tc>
      </w:tr>
      <w:tr w:rsidR="00AB10A0" w:rsidRPr="00AB10A0" w14:paraId="639B3619" w14:textId="77777777" w:rsidTr="00AB10A0">
        <w:trPr>
          <w:trHeight w:val="1444"/>
        </w:trPr>
        <w:tc>
          <w:tcPr>
            <w:tcW w:w="4850" w:type="dxa"/>
            <w:tcBorders>
              <w:top w:val="single" w:sz="18" w:space="0" w:color="auto"/>
              <w:left w:val="single" w:sz="18" w:space="0" w:color="auto"/>
              <w:right w:val="single" w:sz="8" w:space="0" w:color="auto"/>
            </w:tcBorders>
          </w:tcPr>
          <w:p w14:paraId="3675ECE6" w14:textId="77777777" w:rsidR="00AB10A0" w:rsidRPr="00AB10A0" w:rsidRDefault="00AB10A0" w:rsidP="00B77943">
            <w:pPr>
              <w:jc w:val="center"/>
              <w:rPr>
                <w:i/>
              </w:rPr>
            </w:pPr>
            <w:r w:rsidRPr="00AB10A0">
              <w:rPr>
                <w:b/>
                <w:i/>
              </w:rPr>
              <w:t xml:space="preserve">TFI </w:t>
            </w:r>
            <w:r w:rsidRPr="00AB10A0">
              <w:rPr>
                <w:i/>
              </w:rPr>
              <w:t xml:space="preserve">2.3 </w:t>
            </w:r>
            <w:r w:rsidRPr="00AB10A0">
              <w:rPr>
                <w:b/>
                <w:i/>
              </w:rPr>
              <w:t>Screening</w:t>
            </w:r>
            <w:r w:rsidRPr="00AB10A0">
              <w:rPr>
                <w:i/>
              </w:rPr>
              <w:t>: Tier II team uses decision rules and multiple sources of data (e.g., ODRs, academic progress, screening tools, attendance, teacher/family/student nominations) to identify students who require Tier II supports.</w:t>
            </w:r>
          </w:p>
        </w:tc>
        <w:tc>
          <w:tcPr>
            <w:tcW w:w="9700" w:type="dxa"/>
            <w:tcBorders>
              <w:top w:val="single" w:sz="18" w:space="0" w:color="auto"/>
              <w:left w:val="single" w:sz="8" w:space="0" w:color="auto"/>
              <w:right w:val="single" w:sz="18" w:space="0" w:color="auto"/>
            </w:tcBorders>
          </w:tcPr>
          <w:p w14:paraId="650DF5CA" w14:textId="77777777" w:rsidR="00AB10A0" w:rsidRPr="00AB10A0" w:rsidRDefault="00AB10A0" w:rsidP="00B77943">
            <w:pPr>
              <w:rPr>
                <w:i/>
              </w:rPr>
            </w:pPr>
          </w:p>
        </w:tc>
      </w:tr>
      <w:tr w:rsidR="00AB10A0" w:rsidRPr="00AB10A0" w14:paraId="7767DFEB" w14:textId="77777777" w:rsidTr="00AB10A0">
        <w:trPr>
          <w:trHeight w:val="891"/>
        </w:trPr>
        <w:tc>
          <w:tcPr>
            <w:tcW w:w="4850" w:type="dxa"/>
            <w:tcBorders>
              <w:left w:val="single" w:sz="18" w:space="0" w:color="auto"/>
              <w:right w:val="single" w:sz="8" w:space="0" w:color="auto"/>
            </w:tcBorders>
          </w:tcPr>
          <w:p w14:paraId="5477569D" w14:textId="77777777" w:rsidR="00AB10A0" w:rsidRPr="00AB10A0" w:rsidRDefault="00AB10A0" w:rsidP="00B77943">
            <w:pPr>
              <w:rPr>
                <w:i/>
                <w:noProof/>
              </w:rPr>
            </w:pPr>
          </w:p>
        </w:tc>
        <w:tc>
          <w:tcPr>
            <w:tcW w:w="9700" w:type="dxa"/>
            <w:tcBorders>
              <w:left w:val="single" w:sz="8" w:space="0" w:color="auto"/>
              <w:right w:val="single" w:sz="18" w:space="0" w:color="auto"/>
            </w:tcBorders>
          </w:tcPr>
          <w:p w14:paraId="0142B6B5" w14:textId="77777777" w:rsidR="00AB10A0" w:rsidRPr="00AB10A0" w:rsidRDefault="00AB10A0" w:rsidP="00B77943">
            <w:pPr>
              <w:ind w:left="545" w:right="859"/>
              <w:jc w:val="center"/>
              <w:rPr>
                <w:i/>
                <w:noProof/>
              </w:rPr>
            </w:pPr>
            <w:r w:rsidRPr="00AB10A0">
              <w:rPr>
                <w:b/>
                <w:i/>
              </w:rPr>
              <w:t xml:space="preserve">TFI </w:t>
            </w:r>
            <w:r w:rsidRPr="00AB10A0">
              <w:rPr>
                <w:i/>
                <w:noProof/>
              </w:rPr>
              <w:t xml:space="preserve">2.11 </w:t>
            </w:r>
            <w:r w:rsidRPr="00AB10A0">
              <w:rPr>
                <w:b/>
                <w:i/>
                <w:noProof/>
              </w:rPr>
              <w:t xml:space="preserve">Student Performance Data: </w:t>
            </w:r>
            <w:r w:rsidRPr="00AB10A0">
              <w:rPr>
                <w:i/>
                <w:noProof/>
              </w:rPr>
              <w:t>Tier II team tracks proportion of students experiencing success (% of participating students being successful) and uses Tier II intervention outcomes data and decsion rules for progress monitoring and modification.</w:t>
            </w:r>
          </w:p>
        </w:tc>
      </w:tr>
      <w:tr w:rsidR="00AB10A0" w:rsidRPr="00AB10A0" w14:paraId="74050211" w14:textId="77777777" w:rsidTr="00AB10A0">
        <w:trPr>
          <w:trHeight w:val="685"/>
        </w:trPr>
        <w:tc>
          <w:tcPr>
            <w:tcW w:w="14550" w:type="dxa"/>
            <w:gridSpan w:val="2"/>
            <w:tcBorders>
              <w:left w:val="single" w:sz="18" w:space="0" w:color="auto"/>
              <w:bottom w:val="single" w:sz="18" w:space="0" w:color="auto"/>
              <w:right w:val="single" w:sz="18" w:space="0" w:color="auto"/>
            </w:tcBorders>
          </w:tcPr>
          <w:p w14:paraId="670633FB" w14:textId="77777777" w:rsidR="00AB10A0" w:rsidRPr="00AB10A0" w:rsidRDefault="00AB10A0" w:rsidP="00B77943">
            <w:pPr>
              <w:ind w:left="1445" w:right="2029"/>
              <w:jc w:val="center"/>
              <w:rPr>
                <w:i/>
                <w:noProof/>
              </w:rPr>
            </w:pPr>
            <w:r w:rsidRPr="00AB10A0">
              <w:rPr>
                <w:b/>
                <w:i/>
              </w:rPr>
              <w:t xml:space="preserve">TFI </w:t>
            </w:r>
            <w:r w:rsidRPr="00AB10A0">
              <w:rPr>
                <w:i/>
                <w:noProof/>
              </w:rPr>
              <w:t xml:space="preserve">2.7 </w:t>
            </w:r>
            <w:r w:rsidRPr="00AB10A0">
              <w:rPr>
                <w:b/>
                <w:i/>
                <w:noProof/>
              </w:rPr>
              <w:t xml:space="preserve">Practice Matched to Student Need: </w:t>
            </w:r>
            <w:r w:rsidRPr="00AB10A0">
              <w:rPr>
                <w:i/>
                <w:noProof/>
              </w:rPr>
              <w:t>A formal process is in place to select Tier II interventions that are (a) matched to sutdent need (e.g., behavioral function), and (b) adapted to improve contexual fit (e.g., cultue, developmental level).</w:t>
            </w:r>
          </w:p>
        </w:tc>
      </w:tr>
    </w:tbl>
    <w:p w14:paraId="7F2D36DD" w14:textId="77777777" w:rsidR="00AB10A0" w:rsidRDefault="00AB10A0"/>
    <w:tbl>
      <w:tblPr>
        <w:tblStyle w:val="TableGrid"/>
        <w:tblW w:w="14579" w:type="dxa"/>
        <w:tblInd w:w="-725" w:type="dxa"/>
        <w:tblLook w:val="04A0" w:firstRow="1" w:lastRow="0" w:firstColumn="1" w:lastColumn="0" w:noHBand="0" w:noVBand="1"/>
      </w:tblPr>
      <w:tblGrid>
        <w:gridCol w:w="4799"/>
        <w:gridCol w:w="4844"/>
        <w:gridCol w:w="4936"/>
      </w:tblGrid>
      <w:tr w:rsidR="00AB10A0" w:rsidRPr="00AB10A0" w14:paraId="59C5CCBE" w14:textId="77777777" w:rsidTr="00886401">
        <w:trPr>
          <w:trHeight w:val="434"/>
        </w:trPr>
        <w:tc>
          <w:tcPr>
            <w:tcW w:w="14579" w:type="dxa"/>
            <w:gridSpan w:val="3"/>
            <w:tcBorders>
              <w:top w:val="single" w:sz="18" w:space="0" w:color="auto"/>
              <w:left w:val="single" w:sz="18" w:space="0" w:color="auto"/>
              <w:bottom w:val="single" w:sz="8" w:space="0" w:color="auto"/>
              <w:right w:val="single" w:sz="18" w:space="0" w:color="auto"/>
            </w:tcBorders>
            <w:shd w:val="clear" w:color="auto" w:fill="EDEDED" w:themeFill="accent3" w:themeFillTint="33"/>
            <w:vAlign w:val="center"/>
          </w:tcPr>
          <w:p w14:paraId="049EC3AF" w14:textId="77777777" w:rsidR="00AB10A0" w:rsidRPr="00AB10A0" w:rsidRDefault="00886401" w:rsidP="00B77943">
            <w:pPr>
              <w:jc w:val="center"/>
              <w:rPr>
                <w:b/>
                <w:noProof/>
                <w:sz w:val="24"/>
                <w:szCs w:val="24"/>
              </w:rPr>
            </w:pPr>
            <w:r>
              <w:rPr>
                <w:b/>
                <w:noProof/>
                <w:sz w:val="24"/>
                <w:szCs w:val="24"/>
              </w:rPr>
              <w:t>STRONG</w:t>
            </w:r>
            <w:r w:rsidR="00AB10A0" w:rsidRPr="00AB10A0">
              <w:rPr>
                <w:b/>
                <w:noProof/>
                <w:sz w:val="24"/>
                <w:szCs w:val="24"/>
              </w:rPr>
              <w:t xml:space="preserve"> CICO EXAMPLE:</w:t>
            </w:r>
          </w:p>
        </w:tc>
      </w:tr>
      <w:tr w:rsidR="00AB10A0" w14:paraId="5D43A08D" w14:textId="77777777" w:rsidTr="00886401">
        <w:trPr>
          <w:trHeight w:val="1303"/>
        </w:trPr>
        <w:tc>
          <w:tcPr>
            <w:tcW w:w="4799" w:type="dxa"/>
            <w:tcBorders>
              <w:top w:val="single" w:sz="8" w:space="0" w:color="auto"/>
              <w:left w:val="single" w:sz="18" w:space="0" w:color="auto"/>
              <w:right w:val="single" w:sz="8" w:space="0" w:color="auto"/>
            </w:tcBorders>
            <w:shd w:val="clear" w:color="auto" w:fill="FFFFFF" w:themeFill="background1"/>
            <w:vAlign w:val="center"/>
          </w:tcPr>
          <w:p w14:paraId="144C6965" w14:textId="77777777" w:rsidR="00AB10A0" w:rsidRPr="00AB10A0" w:rsidRDefault="00AB10A0" w:rsidP="00B77943">
            <w:pPr>
              <w:jc w:val="center"/>
              <w:rPr>
                <w:b/>
                <w:i/>
                <w:noProof/>
              </w:rPr>
            </w:pPr>
            <w:r w:rsidRPr="00AB10A0">
              <w:rPr>
                <w:b/>
                <w:i/>
                <w:noProof/>
              </w:rPr>
              <w:t>IN:</w:t>
            </w:r>
          </w:p>
          <w:p w14:paraId="52740F66" w14:textId="77777777" w:rsidR="00AB10A0" w:rsidRPr="00AB10A0" w:rsidRDefault="00886401" w:rsidP="00886401">
            <w:pPr>
              <w:ind w:left="360"/>
              <w:jc w:val="center"/>
              <w:rPr>
                <w:rFonts w:ascii="Calibri" w:eastAsia="Times New Roman" w:hAnsi="Calibri" w:cs="Times New Roman"/>
                <w:color w:val="000000"/>
              </w:rPr>
            </w:pPr>
            <w:r>
              <w:rPr>
                <w:rFonts w:ascii="Calibri" w:eastAsia="Times New Roman" w:hAnsi="Calibri" w:cs="Times New Roman"/>
                <w:color w:val="000000"/>
              </w:rPr>
              <w:t>Student received 3 ODRs within 3 weeks of school.</w:t>
            </w:r>
          </w:p>
        </w:tc>
        <w:tc>
          <w:tcPr>
            <w:tcW w:w="4844" w:type="dxa"/>
            <w:tcBorders>
              <w:top w:val="single" w:sz="8" w:space="0" w:color="auto"/>
              <w:left w:val="single" w:sz="8" w:space="0" w:color="auto"/>
              <w:right w:val="single" w:sz="8" w:space="0" w:color="auto"/>
            </w:tcBorders>
            <w:shd w:val="clear" w:color="auto" w:fill="FFFFFF" w:themeFill="background1"/>
            <w:vAlign w:val="center"/>
          </w:tcPr>
          <w:p w14:paraId="497F8F60" w14:textId="77777777" w:rsidR="00AB10A0" w:rsidRPr="00AB10A0" w:rsidRDefault="00AB10A0" w:rsidP="00B77943">
            <w:pPr>
              <w:jc w:val="center"/>
              <w:rPr>
                <w:b/>
                <w:i/>
                <w:noProof/>
              </w:rPr>
            </w:pPr>
            <w:r w:rsidRPr="00AB10A0">
              <w:rPr>
                <w:b/>
                <w:i/>
                <w:noProof/>
              </w:rPr>
              <w:t xml:space="preserve">ON: </w:t>
            </w:r>
          </w:p>
          <w:p w14:paraId="3DAC2F1D" w14:textId="77777777" w:rsidR="00AB10A0" w:rsidRDefault="00886401" w:rsidP="00886401">
            <w:pPr>
              <w:jc w:val="center"/>
              <w:rPr>
                <w:i/>
                <w:noProof/>
              </w:rPr>
            </w:pPr>
            <w:r>
              <w:rPr>
                <w:rFonts w:ascii="Calibri" w:eastAsia="Times New Roman" w:hAnsi="Calibri" w:cs="Times New Roman"/>
                <w:color w:val="000000"/>
              </w:rPr>
              <w:t>Daily point card (DPC) shows the student is successfully meeting 80% of CICO expectations overall across the week.</w:t>
            </w:r>
          </w:p>
        </w:tc>
        <w:tc>
          <w:tcPr>
            <w:tcW w:w="4935" w:type="dxa"/>
            <w:tcBorders>
              <w:top w:val="single" w:sz="8" w:space="0" w:color="auto"/>
              <w:left w:val="single" w:sz="8" w:space="0" w:color="auto"/>
              <w:right w:val="single" w:sz="18" w:space="0" w:color="auto"/>
            </w:tcBorders>
            <w:shd w:val="clear" w:color="auto" w:fill="FFFFFF" w:themeFill="background1"/>
            <w:vAlign w:val="center"/>
          </w:tcPr>
          <w:p w14:paraId="11985231" w14:textId="77777777" w:rsidR="00AB10A0" w:rsidRPr="00AB10A0" w:rsidRDefault="00AB10A0" w:rsidP="00B77943">
            <w:pPr>
              <w:jc w:val="center"/>
              <w:rPr>
                <w:b/>
                <w:i/>
                <w:noProof/>
              </w:rPr>
            </w:pPr>
            <w:r w:rsidRPr="00AB10A0">
              <w:rPr>
                <w:b/>
                <w:i/>
                <w:noProof/>
              </w:rPr>
              <w:t>OUT:</w:t>
            </w:r>
          </w:p>
          <w:p w14:paraId="1B95CF6F" w14:textId="2512E69A" w:rsidR="00AB10A0" w:rsidRDefault="00166974" w:rsidP="00B77943">
            <w:pPr>
              <w:jc w:val="center"/>
              <w:rPr>
                <w:i/>
                <w:noProof/>
              </w:rPr>
            </w:pPr>
            <w:r w:rsidRPr="00C753BF">
              <w:rPr>
                <w:rFonts w:ascii="Calibri" w:eastAsia="Times New Roman" w:hAnsi="Calibri" w:cs="Times New Roman"/>
                <w:color w:val="000000" w:themeColor="text1"/>
              </w:rPr>
              <w:t>Student me</w:t>
            </w:r>
            <w:r w:rsidR="00886401" w:rsidRPr="00C753BF">
              <w:rPr>
                <w:rFonts w:ascii="Calibri" w:eastAsia="Times New Roman" w:hAnsi="Calibri" w:cs="Times New Roman"/>
                <w:color w:val="000000" w:themeColor="text1"/>
              </w:rPr>
              <w:t>et</w:t>
            </w:r>
            <w:r w:rsidRPr="00C753BF">
              <w:rPr>
                <w:rFonts w:ascii="Calibri" w:eastAsia="Times New Roman" w:hAnsi="Calibri" w:cs="Times New Roman"/>
                <w:color w:val="000000" w:themeColor="text1"/>
              </w:rPr>
              <w:t>s</w:t>
            </w:r>
            <w:r w:rsidR="00886401" w:rsidRPr="00C753BF">
              <w:rPr>
                <w:rFonts w:ascii="Calibri" w:eastAsia="Times New Roman" w:hAnsi="Calibri" w:cs="Times New Roman"/>
                <w:color w:val="000000" w:themeColor="text1"/>
              </w:rPr>
              <w:t xml:space="preserve"> DPC expectations 80% of the time daily for 5 weeks.</w:t>
            </w:r>
          </w:p>
        </w:tc>
      </w:tr>
      <w:tr w:rsidR="00AB10A0" w:rsidRPr="00AB10A0" w14:paraId="0AFE6E2D" w14:textId="77777777" w:rsidTr="00886401">
        <w:trPr>
          <w:trHeight w:val="421"/>
        </w:trPr>
        <w:tc>
          <w:tcPr>
            <w:tcW w:w="14579" w:type="dxa"/>
            <w:gridSpan w:val="3"/>
            <w:tcBorders>
              <w:left w:val="single" w:sz="18" w:space="0" w:color="auto"/>
              <w:right w:val="single" w:sz="18" w:space="0" w:color="auto"/>
            </w:tcBorders>
            <w:shd w:val="clear" w:color="auto" w:fill="F2F2F2" w:themeFill="background1" w:themeFillShade="F2"/>
            <w:vAlign w:val="center"/>
          </w:tcPr>
          <w:p w14:paraId="06732927" w14:textId="77777777" w:rsidR="00AB10A0" w:rsidRPr="00AB10A0" w:rsidRDefault="00AB10A0" w:rsidP="00AB10A0">
            <w:pPr>
              <w:jc w:val="center"/>
              <w:rPr>
                <w:noProof/>
                <w:sz w:val="24"/>
                <w:szCs w:val="24"/>
              </w:rPr>
            </w:pPr>
            <w:r w:rsidRPr="00AB10A0">
              <w:rPr>
                <w:b/>
                <w:noProof/>
                <w:sz w:val="24"/>
                <w:szCs w:val="24"/>
              </w:rPr>
              <w:t>“UNDER CONSTRUCTION” CICO EXAMPLE</w:t>
            </w:r>
          </w:p>
        </w:tc>
      </w:tr>
      <w:tr w:rsidR="00AB10A0" w14:paraId="349CBF22" w14:textId="77777777" w:rsidTr="00886401">
        <w:trPr>
          <w:trHeight w:val="1088"/>
        </w:trPr>
        <w:tc>
          <w:tcPr>
            <w:tcW w:w="4799" w:type="dxa"/>
            <w:tcBorders>
              <w:left w:val="single" w:sz="18" w:space="0" w:color="auto"/>
              <w:bottom w:val="single" w:sz="18" w:space="0" w:color="auto"/>
              <w:right w:val="single" w:sz="8" w:space="0" w:color="auto"/>
            </w:tcBorders>
            <w:shd w:val="clear" w:color="auto" w:fill="FFFFFF" w:themeFill="background1"/>
            <w:vAlign w:val="center"/>
          </w:tcPr>
          <w:p w14:paraId="5DD55FE1" w14:textId="77777777" w:rsidR="00AB10A0" w:rsidRPr="00AB10A0" w:rsidRDefault="00AB10A0" w:rsidP="00B77943">
            <w:pPr>
              <w:jc w:val="center"/>
              <w:rPr>
                <w:b/>
                <w:i/>
                <w:noProof/>
              </w:rPr>
            </w:pPr>
            <w:r w:rsidRPr="00AB10A0">
              <w:rPr>
                <w:b/>
                <w:i/>
                <w:noProof/>
              </w:rPr>
              <w:t>IN:</w:t>
            </w:r>
          </w:p>
          <w:p w14:paraId="5DCC2908" w14:textId="77777777" w:rsidR="00AB10A0" w:rsidRDefault="00AB10A0" w:rsidP="00B77943">
            <w:pPr>
              <w:jc w:val="center"/>
              <w:rPr>
                <w:i/>
                <w:noProof/>
              </w:rPr>
            </w:pPr>
            <w:r>
              <w:rPr>
                <w:rFonts w:ascii="Calibri" w:eastAsia="Times New Roman" w:hAnsi="Calibri" w:cs="Times New Roman"/>
                <w:color w:val="000000"/>
              </w:rPr>
              <w:t>Teacher Discussion</w:t>
            </w:r>
          </w:p>
        </w:tc>
        <w:tc>
          <w:tcPr>
            <w:tcW w:w="4844" w:type="dxa"/>
            <w:tcBorders>
              <w:left w:val="single" w:sz="8" w:space="0" w:color="auto"/>
              <w:bottom w:val="single" w:sz="18" w:space="0" w:color="auto"/>
              <w:right w:val="single" w:sz="8" w:space="0" w:color="auto"/>
            </w:tcBorders>
            <w:shd w:val="clear" w:color="auto" w:fill="FFFFFF" w:themeFill="background1"/>
            <w:vAlign w:val="center"/>
          </w:tcPr>
          <w:p w14:paraId="7C4F0021" w14:textId="77777777" w:rsidR="00AB10A0" w:rsidRPr="00AB10A0" w:rsidRDefault="00AB10A0" w:rsidP="00B77943">
            <w:pPr>
              <w:jc w:val="center"/>
              <w:rPr>
                <w:b/>
                <w:i/>
                <w:noProof/>
              </w:rPr>
            </w:pPr>
            <w:r w:rsidRPr="00AB10A0">
              <w:rPr>
                <w:b/>
                <w:i/>
                <w:noProof/>
              </w:rPr>
              <w:t>ON:</w:t>
            </w:r>
          </w:p>
          <w:p w14:paraId="7DC4E539" w14:textId="77777777" w:rsidR="00AB10A0" w:rsidRDefault="00886401" w:rsidP="00B77943">
            <w:pPr>
              <w:jc w:val="center"/>
              <w:rPr>
                <w:i/>
                <w:noProof/>
              </w:rPr>
            </w:pPr>
            <w:r>
              <w:rPr>
                <w:rFonts w:ascii="Calibri" w:eastAsia="Times New Roman" w:hAnsi="Calibri" w:cs="Times New Roman"/>
                <w:color w:val="000000"/>
              </w:rPr>
              <w:t>Daily point card is used. Points earned are not being collected and recorded</w:t>
            </w:r>
          </w:p>
        </w:tc>
        <w:tc>
          <w:tcPr>
            <w:tcW w:w="4935" w:type="dxa"/>
            <w:tcBorders>
              <w:left w:val="single" w:sz="8" w:space="0" w:color="auto"/>
              <w:bottom w:val="single" w:sz="18" w:space="0" w:color="auto"/>
              <w:right w:val="single" w:sz="18" w:space="0" w:color="auto"/>
            </w:tcBorders>
            <w:shd w:val="clear" w:color="auto" w:fill="FFFFFF" w:themeFill="background1"/>
            <w:vAlign w:val="center"/>
          </w:tcPr>
          <w:p w14:paraId="059ACA00" w14:textId="77777777" w:rsidR="00AB10A0" w:rsidRPr="00AB10A0" w:rsidRDefault="00AB10A0" w:rsidP="00B77943">
            <w:pPr>
              <w:jc w:val="center"/>
              <w:rPr>
                <w:b/>
                <w:i/>
                <w:noProof/>
              </w:rPr>
            </w:pPr>
            <w:r w:rsidRPr="00AB10A0">
              <w:rPr>
                <w:b/>
                <w:i/>
                <w:noProof/>
              </w:rPr>
              <w:t>OUT:</w:t>
            </w:r>
          </w:p>
          <w:p w14:paraId="1E441315" w14:textId="77777777" w:rsidR="00AB10A0" w:rsidRDefault="00AB10A0" w:rsidP="00B77943">
            <w:pPr>
              <w:jc w:val="center"/>
              <w:rPr>
                <w:i/>
                <w:noProof/>
              </w:rPr>
            </w:pPr>
            <w:r>
              <w:rPr>
                <w:rFonts w:ascii="Calibri" w:eastAsia="Times New Roman" w:hAnsi="Calibri" w:cs="Times New Roman"/>
                <w:color w:val="000000"/>
              </w:rPr>
              <w:t>[not defined]</w:t>
            </w:r>
          </w:p>
        </w:tc>
      </w:tr>
    </w:tbl>
    <w:p w14:paraId="7C5D3F29" w14:textId="77777777" w:rsidR="00AB10A0" w:rsidRDefault="00AB10A0"/>
    <w:tbl>
      <w:tblPr>
        <w:tblW w:w="13912" w:type="dxa"/>
        <w:tblInd w:w="-368" w:type="dxa"/>
        <w:tblCellMar>
          <w:left w:w="0" w:type="dxa"/>
          <w:right w:w="0" w:type="dxa"/>
        </w:tblCellMar>
        <w:tblLook w:val="0420" w:firstRow="1" w:lastRow="0" w:firstColumn="0" w:lastColumn="0" w:noHBand="0" w:noVBand="1"/>
      </w:tblPr>
      <w:tblGrid>
        <w:gridCol w:w="2086"/>
        <w:gridCol w:w="1661"/>
        <w:gridCol w:w="1569"/>
        <w:gridCol w:w="2864"/>
        <w:gridCol w:w="2864"/>
        <w:gridCol w:w="2868"/>
      </w:tblGrid>
      <w:tr w:rsidR="00AB10A0" w:rsidRPr="00AB10A0" w14:paraId="684D11F1" w14:textId="77777777" w:rsidTr="00AB10A0">
        <w:trPr>
          <w:trHeight w:val="358"/>
        </w:trPr>
        <w:tc>
          <w:tcPr>
            <w:tcW w:w="5316" w:type="dxa"/>
            <w:gridSpan w:val="3"/>
            <w:tcBorders>
              <w:top w:val="single" w:sz="18" w:space="0" w:color="auto"/>
              <w:left w:val="single" w:sz="18" w:space="0" w:color="auto"/>
              <w:bottom w:val="single" w:sz="8" w:space="0" w:color="auto"/>
              <w:right w:val="single" w:sz="8" w:space="0" w:color="D9D9D9" w:themeColor="background1" w:themeShade="D9"/>
            </w:tcBorders>
            <w:shd w:val="clear" w:color="auto" w:fill="D9D9D9" w:themeFill="background1" w:themeFillShade="D9"/>
            <w:tcMar>
              <w:top w:w="72" w:type="dxa"/>
              <w:left w:w="144" w:type="dxa"/>
              <w:bottom w:w="72" w:type="dxa"/>
              <w:right w:w="144" w:type="dxa"/>
            </w:tcMar>
            <w:hideMark/>
          </w:tcPr>
          <w:p w14:paraId="204CF07F" w14:textId="77777777" w:rsidR="00AB10A0" w:rsidRPr="00AB10A0" w:rsidRDefault="00AB10A0" w:rsidP="00AB10A0">
            <w:r>
              <w:lastRenderedPageBreak/>
              <w:br w:type="page"/>
            </w:r>
          </w:p>
        </w:tc>
        <w:tc>
          <w:tcPr>
            <w:tcW w:w="8596" w:type="dxa"/>
            <w:gridSpan w:val="3"/>
            <w:tcBorders>
              <w:top w:val="single" w:sz="18" w:space="0" w:color="auto"/>
              <w:left w:val="single" w:sz="8" w:space="0" w:color="D9D9D9" w:themeColor="background1" w:themeShade="D9"/>
              <w:bottom w:val="single" w:sz="8" w:space="0" w:color="auto"/>
              <w:right w:val="single" w:sz="18" w:space="0" w:color="auto"/>
            </w:tcBorders>
            <w:shd w:val="clear" w:color="auto" w:fill="D9D9D9" w:themeFill="background1" w:themeFillShade="D9"/>
            <w:tcMar>
              <w:top w:w="72" w:type="dxa"/>
              <w:left w:w="144" w:type="dxa"/>
              <w:bottom w:w="72" w:type="dxa"/>
              <w:right w:w="144" w:type="dxa"/>
            </w:tcMar>
            <w:vAlign w:val="center"/>
            <w:hideMark/>
          </w:tcPr>
          <w:p w14:paraId="42B3017E" w14:textId="77777777" w:rsidR="00AB10A0" w:rsidRPr="00AB10A0" w:rsidRDefault="00AB10A0" w:rsidP="00AB10A0">
            <w:pPr>
              <w:jc w:val="center"/>
              <w:rPr>
                <w:sz w:val="28"/>
                <w:szCs w:val="28"/>
              </w:rPr>
            </w:pPr>
            <w:r w:rsidRPr="00AB10A0">
              <w:rPr>
                <w:b/>
                <w:bCs/>
                <w:sz w:val="28"/>
                <w:szCs w:val="28"/>
              </w:rPr>
              <w:t>Decision Rules:</w:t>
            </w:r>
          </w:p>
        </w:tc>
      </w:tr>
      <w:tr w:rsidR="00AB10A0" w:rsidRPr="00AB10A0" w14:paraId="0DE88722" w14:textId="77777777" w:rsidTr="00AB10A0">
        <w:trPr>
          <w:trHeight w:val="691"/>
        </w:trPr>
        <w:tc>
          <w:tcPr>
            <w:tcW w:w="2086" w:type="dxa"/>
            <w:tcBorders>
              <w:top w:val="single" w:sz="8" w:space="0" w:color="auto"/>
              <w:left w:val="single" w:sz="18" w:space="0" w:color="auto"/>
              <w:bottom w:val="single" w:sz="8" w:space="0" w:color="auto"/>
              <w:right w:val="single" w:sz="8" w:space="0" w:color="auto"/>
            </w:tcBorders>
            <w:shd w:val="clear" w:color="auto" w:fill="D9D9D9" w:themeFill="background1" w:themeFillShade="D9"/>
            <w:tcMar>
              <w:top w:w="72" w:type="dxa"/>
              <w:left w:w="144" w:type="dxa"/>
              <w:bottom w:w="72" w:type="dxa"/>
              <w:right w:w="144" w:type="dxa"/>
            </w:tcMar>
            <w:vAlign w:val="center"/>
            <w:hideMark/>
          </w:tcPr>
          <w:p w14:paraId="6FB63C37" w14:textId="77777777" w:rsidR="00AB10A0" w:rsidRPr="00AB10A0" w:rsidRDefault="00AB10A0" w:rsidP="00AB10A0">
            <w:r w:rsidRPr="00AB10A0">
              <w:rPr>
                <w:b/>
                <w:bCs/>
              </w:rPr>
              <w:t>Intervention Name</w:t>
            </w:r>
          </w:p>
        </w:tc>
        <w:tc>
          <w:tcPr>
            <w:tcW w:w="166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72" w:type="dxa"/>
              <w:left w:w="144" w:type="dxa"/>
              <w:bottom w:w="72" w:type="dxa"/>
              <w:right w:w="144" w:type="dxa"/>
            </w:tcMar>
            <w:vAlign w:val="center"/>
            <w:hideMark/>
          </w:tcPr>
          <w:p w14:paraId="3D30F8E0" w14:textId="77777777" w:rsidR="00AB10A0" w:rsidRPr="00AB10A0" w:rsidRDefault="00AB10A0" w:rsidP="00AB10A0">
            <w:r>
              <w:rPr>
                <w:b/>
                <w:bCs/>
              </w:rPr>
              <w:t>Intervention Coordinator</w:t>
            </w:r>
          </w:p>
        </w:tc>
        <w:tc>
          <w:tcPr>
            <w:tcW w:w="15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72" w:type="dxa"/>
              <w:left w:w="144" w:type="dxa"/>
              <w:bottom w:w="72" w:type="dxa"/>
              <w:right w:w="144" w:type="dxa"/>
            </w:tcMar>
            <w:vAlign w:val="center"/>
            <w:hideMark/>
          </w:tcPr>
          <w:p w14:paraId="1AC87C9F" w14:textId="77777777" w:rsidR="00AB10A0" w:rsidRPr="00AB10A0" w:rsidRDefault="00AB10A0" w:rsidP="00AB10A0">
            <w:r w:rsidRPr="00AB10A0">
              <w:rPr>
                <w:b/>
                <w:bCs/>
              </w:rPr>
              <w:t>Type</w:t>
            </w:r>
            <w:r>
              <w:t xml:space="preserve">         </w:t>
            </w:r>
            <w:r w:rsidRPr="00AB10A0">
              <w:rPr>
                <w:bCs/>
                <w:sz w:val="20"/>
                <w:szCs w:val="20"/>
              </w:rPr>
              <w:t>(Skill- and/or Relationship-Building)</w:t>
            </w:r>
          </w:p>
        </w:tc>
        <w:tc>
          <w:tcPr>
            <w:tcW w:w="286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72" w:type="dxa"/>
              <w:left w:w="144" w:type="dxa"/>
              <w:bottom w:w="72" w:type="dxa"/>
              <w:right w:w="144" w:type="dxa"/>
            </w:tcMar>
            <w:vAlign w:val="center"/>
            <w:hideMark/>
          </w:tcPr>
          <w:p w14:paraId="1861B209" w14:textId="77777777" w:rsidR="00AB10A0" w:rsidRPr="00AB10A0" w:rsidRDefault="00AB10A0" w:rsidP="00AB10A0">
            <w:pPr>
              <w:jc w:val="center"/>
              <w:rPr>
                <w:sz w:val="36"/>
                <w:szCs w:val="36"/>
              </w:rPr>
            </w:pPr>
            <w:r w:rsidRPr="00AB10A0">
              <w:rPr>
                <w:b/>
                <w:bCs/>
                <w:sz w:val="36"/>
                <w:szCs w:val="36"/>
              </w:rPr>
              <w:t>In</w:t>
            </w:r>
          </w:p>
        </w:tc>
        <w:tc>
          <w:tcPr>
            <w:tcW w:w="286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72" w:type="dxa"/>
              <w:left w:w="144" w:type="dxa"/>
              <w:bottom w:w="72" w:type="dxa"/>
              <w:right w:w="144" w:type="dxa"/>
            </w:tcMar>
            <w:vAlign w:val="center"/>
            <w:hideMark/>
          </w:tcPr>
          <w:p w14:paraId="76F7C7AD" w14:textId="77777777" w:rsidR="00AB10A0" w:rsidRPr="00AB10A0" w:rsidRDefault="00AB10A0" w:rsidP="00AB10A0">
            <w:pPr>
              <w:jc w:val="center"/>
              <w:rPr>
                <w:sz w:val="36"/>
                <w:szCs w:val="36"/>
              </w:rPr>
            </w:pPr>
            <w:r w:rsidRPr="00AB10A0">
              <w:rPr>
                <w:b/>
                <w:bCs/>
                <w:sz w:val="36"/>
                <w:szCs w:val="36"/>
              </w:rPr>
              <w:t>On</w:t>
            </w:r>
          </w:p>
        </w:tc>
        <w:tc>
          <w:tcPr>
            <w:tcW w:w="2868"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Mar>
              <w:top w:w="72" w:type="dxa"/>
              <w:left w:w="144" w:type="dxa"/>
              <w:bottom w:w="72" w:type="dxa"/>
              <w:right w:w="144" w:type="dxa"/>
            </w:tcMar>
            <w:vAlign w:val="center"/>
            <w:hideMark/>
          </w:tcPr>
          <w:p w14:paraId="1AB431D5" w14:textId="77777777" w:rsidR="00AB10A0" w:rsidRPr="00AB10A0" w:rsidRDefault="00AB10A0" w:rsidP="00AB10A0">
            <w:pPr>
              <w:jc w:val="center"/>
              <w:rPr>
                <w:sz w:val="36"/>
                <w:szCs w:val="36"/>
              </w:rPr>
            </w:pPr>
            <w:r w:rsidRPr="00AB10A0">
              <w:rPr>
                <w:b/>
                <w:bCs/>
                <w:sz w:val="36"/>
                <w:szCs w:val="36"/>
              </w:rPr>
              <w:t>Out</w:t>
            </w:r>
          </w:p>
        </w:tc>
      </w:tr>
      <w:tr w:rsidR="00AB10A0" w:rsidRPr="00AB10A0" w14:paraId="72137B61" w14:textId="77777777" w:rsidTr="00AB10A0">
        <w:trPr>
          <w:trHeight w:val="860"/>
        </w:trPr>
        <w:tc>
          <w:tcPr>
            <w:tcW w:w="2086" w:type="dxa"/>
            <w:tcBorders>
              <w:top w:val="single" w:sz="8" w:space="0" w:color="auto"/>
              <w:left w:val="single" w:sz="18" w:space="0" w:color="auto"/>
              <w:bottom w:val="single" w:sz="8" w:space="0" w:color="auto"/>
              <w:right w:val="single" w:sz="8" w:space="0" w:color="auto"/>
            </w:tcBorders>
            <w:shd w:val="clear" w:color="auto" w:fill="FFFFFF" w:themeFill="background1"/>
            <w:tcMar>
              <w:top w:w="72" w:type="dxa"/>
              <w:left w:w="144" w:type="dxa"/>
              <w:bottom w:w="72" w:type="dxa"/>
              <w:right w:w="144" w:type="dxa"/>
            </w:tcMar>
            <w:hideMark/>
          </w:tcPr>
          <w:p w14:paraId="2C94D328" w14:textId="77777777" w:rsidR="00AB10A0" w:rsidRPr="00AB10A0" w:rsidRDefault="00AB10A0" w:rsidP="00AB10A0"/>
        </w:tc>
        <w:tc>
          <w:tcPr>
            <w:tcW w:w="1661" w:type="dxa"/>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hideMark/>
          </w:tcPr>
          <w:p w14:paraId="64757B06" w14:textId="77777777" w:rsidR="00AB10A0" w:rsidRPr="00AB10A0" w:rsidRDefault="00AB10A0" w:rsidP="00AB10A0"/>
        </w:tc>
        <w:tc>
          <w:tcPr>
            <w:tcW w:w="1569" w:type="dxa"/>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hideMark/>
          </w:tcPr>
          <w:p w14:paraId="09FD78B0" w14:textId="77777777" w:rsidR="00AB10A0" w:rsidRPr="00AB10A0" w:rsidRDefault="00AB10A0" w:rsidP="00AB10A0"/>
        </w:tc>
        <w:tc>
          <w:tcPr>
            <w:tcW w:w="286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14:paraId="5C0BB3CE" w14:textId="77777777" w:rsidR="00AB10A0" w:rsidRPr="00AB10A0" w:rsidRDefault="00AB10A0" w:rsidP="00AB10A0"/>
        </w:tc>
        <w:tc>
          <w:tcPr>
            <w:tcW w:w="286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14:paraId="47FDC4B2" w14:textId="77777777" w:rsidR="00AB10A0" w:rsidRPr="00AB10A0" w:rsidRDefault="00AB10A0" w:rsidP="00AB10A0"/>
        </w:tc>
        <w:tc>
          <w:tcPr>
            <w:tcW w:w="2868"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hideMark/>
          </w:tcPr>
          <w:p w14:paraId="6D6FB8DA" w14:textId="77777777" w:rsidR="00AB10A0" w:rsidRPr="00AB10A0" w:rsidRDefault="00AB10A0" w:rsidP="00AB10A0"/>
        </w:tc>
      </w:tr>
      <w:tr w:rsidR="00AB10A0" w:rsidRPr="00AB10A0" w14:paraId="33932226" w14:textId="77777777" w:rsidTr="00AB10A0">
        <w:trPr>
          <w:trHeight w:val="860"/>
        </w:trPr>
        <w:tc>
          <w:tcPr>
            <w:tcW w:w="2086" w:type="dxa"/>
            <w:tcBorders>
              <w:top w:val="single" w:sz="8" w:space="0" w:color="auto"/>
              <w:left w:val="single" w:sz="1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14:paraId="70711F90" w14:textId="77777777" w:rsidR="00AB10A0" w:rsidRPr="00AB10A0" w:rsidRDefault="00AB10A0" w:rsidP="00AB10A0"/>
        </w:tc>
        <w:tc>
          <w:tcPr>
            <w:tcW w:w="1661" w:type="dxa"/>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14:paraId="3ED4C3BC" w14:textId="77777777" w:rsidR="00AB10A0" w:rsidRPr="00AB10A0" w:rsidRDefault="00AB10A0" w:rsidP="00AB10A0"/>
        </w:tc>
        <w:tc>
          <w:tcPr>
            <w:tcW w:w="1569" w:type="dxa"/>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14:paraId="0365D6D9" w14:textId="77777777" w:rsidR="00AB10A0" w:rsidRPr="00AB10A0" w:rsidRDefault="00AB10A0" w:rsidP="00AB10A0"/>
        </w:tc>
        <w:tc>
          <w:tcPr>
            <w:tcW w:w="286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14:paraId="74EFE43F" w14:textId="77777777" w:rsidR="00AB10A0" w:rsidRPr="00AB10A0" w:rsidRDefault="00AB10A0" w:rsidP="00AB10A0"/>
        </w:tc>
        <w:tc>
          <w:tcPr>
            <w:tcW w:w="286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14:paraId="3214458A" w14:textId="77777777" w:rsidR="00AB10A0" w:rsidRPr="00AB10A0" w:rsidRDefault="00AB10A0" w:rsidP="00AB10A0"/>
        </w:tc>
        <w:tc>
          <w:tcPr>
            <w:tcW w:w="2868"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14:paraId="4EBC9453" w14:textId="77777777" w:rsidR="00AB10A0" w:rsidRPr="00AB10A0" w:rsidRDefault="00AB10A0" w:rsidP="00AB10A0"/>
        </w:tc>
      </w:tr>
      <w:tr w:rsidR="00AB10A0" w:rsidRPr="00AB10A0" w14:paraId="02CD496E" w14:textId="77777777" w:rsidTr="00AB10A0">
        <w:trPr>
          <w:trHeight w:val="860"/>
        </w:trPr>
        <w:tc>
          <w:tcPr>
            <w:tcW w:w="2086" w:type="dxa"/>
            <w:tcBorders>
              <w:top w:val="single" w:sz="8" w:space="0" w:color="auto"/>
              <w:left w:val="single" w:sz="1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14:paraId="2E91D828" w14:textId="77777777" w:rsidR="00AB10A0" w:rsidRPr="00AB10A0" w:rsidRDefault="00AB10A0" w:rsidP="00AB10A0"/>
        </w:tc>
        <w:tc>
          <w:tcPr>
            <w:tcW w:w="1661" w:type="dxa"/>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14:paraId="2C1E53E5" w14:textId="77777777" w:rsidR="00AB10A0" w:rsidRPr="00AB10A0" w:rsidRDefault="00AB10A0" w:rsidP="00AB10A0"/>
        </w:tc>
        <w:tc>
          <w:tcPr>
            <w:tcW w:w="1569" w:type="dxa"/>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14:paraId="2285381B" w14:textId="77777777" w:rsidR="00AB10A0" w:rsidRPr="00AB10A0" w:rsidRDefault="00AB10A0" w:rsidP="00AB10A0"/>
        </w:tc>
        <w:tc>
          <w:tcPr>
            <w:tcW w:w="286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14:paraId="6BC63B53" w14:textId="77777777" w:rsidR="00AB10A0" w:rsidRPr="00AB10A0" w:rsidRDefault="00AB10A0" w:rsidP="00AB10A0"/>
        </w:tc>
        <w:tc>
          <w:tcPr>
            <w:tcW w:w="286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14:paraId="2EDEBEFD" w14:textId="77777777" w:rsidR="00AB10A0" w:rsidRPr="00AB10A0" w:rsidRDefault="00AB10A0" w:rsidP="00AB10A0"/>
        </w:tc>
        <w:tc>
          <w:tcPr>
            <w:tcW w:w="2868"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14:paraId="3251AFAD" w14:textId="77777777" w:rsidR="00AB10A0" w:rsidRPr="00AB10A0" w:rsidRDefault="00AB10A0" w:rsidP="00AB10A0"/>
        </w:tc>
      </w:tr>
      <w:tr w:rsidR="00AB10A0" w:rsidRPr="00AB10A0" w14:paraId="4E0E8AD0" w14:textId="77777777" w:rsidTr="00AB10A0">
        <w:trPr>
          <w:trHeight w:val="860"/>
        </w:trPr>
        <w:tc>
          <w:tcPr>
            <w:tcW w:w="2086" w:type="dxa"/>
            <w:tcBorders>
              <w:top w:val="single" w:sz="8" w:space="0" w:color="auto"/>
              <w:left w:val="single" w:sz="1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14:paraId="1886C2AD" w14:textId="77777777" w:rsidR="00AB10A0" w:rsidRPr="00AB10A0" w:rsidRDefault="00AB10A0" w:rsidP="00AB10A0"/>
        </w:tc>
        <w:tc>
          <w:tcPr>
            <w:tcW w:w="1661" w:type="dxa"/>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14:paraId="04E725CB" w14:textId="77777777" w:rsidR="00AB10A0" w:rsidRPr="00AB10A0" w:rsidRDefault="00AB10A0" w:rsidP="00AB10A0"/>
        </w:tc>
        <w:tc>
          <w:tcPr>
            <w:tcW w:w="1569" w:type="dxa"/>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14:paraId="32A1970B" w14:textId="77777777" w:rsidR="00AB10A0" w:rsidRPr="00AB10A0" w:rsidRDefault="00AB10A0" w:rsidP="00AB10A0"/>
        </w:tc>
        <w:tc>
          <w:tcPr>
            <w:tcW w:w="286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14:paraId="7C2C409B" w14:textId="77777777" w:rsidR="00AB10A0" w:rsidRPr="00AB10A0" w:rsidRDefault="00AB10A0" w:rsidP="00AB10A0"/>
        </w:tc>
        <w:tc>
          <w:tcPr>
            <w:tcW w:w="286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14:paraId="48B782AE" w14:textId="77777777" w:rsidR="00AB10A0" w:rsidRPr="00AB10A0" w:rsidRDefault="00AB10A0" w:rsidP="00AB10A0"/>
        </w:tc>
        <w:tc>
          <w:tcPr>
            <w:tcW w:w="2868"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14:paraId="431D172A" w14:textId="77777777" w:rsidR="00AB10A0" w:rsidRPr="00AB10A0" w:rsidRDefault="00AB10A0" w:rsidP="00AB10A0"/>
        </w:tc>
      </w:tr>
      <w:tr w:rsidR="00AB10A0" w:rsidRPr="00AB10A0" w14:paraId="39364EAA" w14:textId="77777777" w:rsidTr="00AB10A0">
        <w:trPr>
          <w:trHeight w:val="860"/>
        </w:trPr>
        <w:tc>
          <w:tcPr>
            <w:tcW w:w="2086" w:type="dxa"/>
            <w:tcBorders>
              <w:top w:val="single" w:sz="8" w:space="0" w:color="auto"/>
              <w:left w:val="single" w:sz="1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14:paraId="1EF01E43" w14:textId="77777777" w:rsidR="00AB10A0" w:rsidRPr="00AB10A0" w:rsidRDefault="00AB10A0" w:rsidP="00AB10A0"/>
        </w:tc>
        <w:tc>
          <w:tcPr>
            <w:tcW w:w="1661" w:type="dxa"/>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14:paraId="7CC5BBDD" w14:textId="77777777" w:rsidR="00AB10A0" w:rsidRPr="00AB10A0" w:rsidRDefault="00AB10A0" w:rsidP="00AB10A0"/>
        </w:tc>
        <w:tc>
          <w:tcPr>
            <w:tcW w:w="1569" w:type="dxa"/>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14:paraId="48C51115" w14:textId="77777777" w:rsidR="00AB10A0" w:rsidRPr="00AB10A0" w:rsidRDefault="00AB10A0" w:rsidP="00AB10A0"/>
        </w:tc>
        <w:tc>
          <w:tcPr>
            <w:tcW w:w="286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14:paraId="4B2D3FF3" w14:textId="77777777" w:rsidR="00AB10A0" w:rsidRPr="00AB10A0" w:rsidRDefault="00AB10A0" w:rsidP="00AB10A0"/>
        </w:tc>
        <w:tc>
          <w:tcPr>
            <w:tcW w:w="286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14:paraId="21FB27A5" w14:textId="77777777" w:rsidR="00AB10A0" w:rsidRPr="00AB10A0" w:rsidRDefault="00AB10A0" w:rsidP="00AB10A0"/>
        </w:tc>
        <w:tc>
          <w:tcPr>
            <w:tcW w:w="2868"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14:paraId="3B2C9AAA" w14:textId="77777777" w:rsidR="00AB10A0" w:rsidRPr="00AB10A0" w:rsidRDefault="00AB10A0" w:rsidP="00AB10A0"/>
        </w:tc>
      </w:tr>
      <w:tr w:rsidR="00AB10A0" w:rsidRPr="00AB10A0" w14:paraId="7C955851" w14:textId="77777777" w:rsidTr="00AB10A0">
        <w:trPr>
          <w:trHeight w:val="860"/>
        </w:trPr>
        <w:tc>
          <w:tcPr>
            <w:tcW w:w="2086" w:type="dxa"/>
            <w:tcBorders>
              <w:top w:val="single" w:sz="8" w:space="0" w:color="auto"/>
              <w:left w:val="single" w:sz="1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14:paraId="7374A09A" w14:textId="77777777" w:rsidR="00AB10A0" w:rsidRPr="00AB10A0" w:rsidRDefault="00AB10A0" w:rsidP="00AB10A0"/>
        </w:tc>
        <w:tc>
          <w:tcPr>
            <w:tcW w:w="1661" w:type="dxa"/>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14:paraId="5C4233C6" w14:textId="77777777" w:rsidR="00AB10A0" w:rsidRPr="00AB10A0" w:rsidRDefault="00AB10A0" w:rsidP="00AB10A0"/>
        </w:tc>
        <w:tc>
          <w:tcPr>
            <w:tcW w:w="1569" w:type="dxa"/>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14:paraId="72C90845" w14:textId="77777777" w:rsidR="00AB10A0" w:rsidRPr="00AB10A0" w:rsidRDefault="00AB10A0" w:rsidP="00AB10A0"/>
        </w:tc>
        <w:tc>
          <w:tcPr>
            <w:tcW w:w="286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14:paraId="254F3B00" w14:textId="77777777" w:rsidR="00AB10A0" w:rsidRPr="00AB10A0" w:rsidRDefault="00AB10A0" w:rsidP="00AB10A0"/>
        </w:tc>
        <w:tc>
          <w:tcPr>
            <w:tcW w:w="286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14:paraId="6B973342" w14:textId="77777777" w:rsidR="00AB10A0" w:rsidRPr="00AB10A0" w:rsidRDefault="00AB10A0" w:rsidP="00AB10A0"/>
        </w:tc>
        <w:tc>
          <w:tcPr>
            <w:tcW w:w="2868"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14:paraId="22965706" w14:textId="77777777" w:rsidR="00AB10A0" w:rsidRPr="00AB10A0" w:rsidRDefault="00AB10A0" w:rsidP="00AB10A0"/>
        </w:tc>
      </w:tr>
      <w:tr w:rsidR="00AB10A0" w:rsidRPr="00AB10A0" w14:paraId="01F804CF" w14:textId="77777777" w:rsidTr="00AB10A0">
        <w:trPr>
          <w:trHeight w:val="860"/>
        </w:trPr>
        <w:tc>
          <w:tcPr>
            <w:tcW w:w="2086" w:type="dxa"/>
            <w:tcBorders>
              <w:top w:val="single" w:sz="8" w:space="0" w:color="auto"/>
              <w:left w:val="single" w:sz="1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14:paraId="086A2526" w14:textId="77777777" w:rsidR="00AB10A0" w:rsidRPr="00AB10A0" w:rsidRDefault="00AB10A0" w:rsidP="00AB10A0"/>
        </w:tc>
        <w:tc>
          <w:tcPr>
            <w:tcW w:w="1661" w:type="dxa"/>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14:paraId="6B1FD0E2" w14:textId="77777777" w:rsidR="00AB10A0" w:rsidRPr="00AB10A0" w:rsidRDefault="00AB10A0" w:rsidP="00AB10A0"/>
        </w:tc>
        <w:tc>
          <w:tcPr>
            <w:tcW w:w="1569" w:type="dxa"/>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14:paraId="3E9D6324" w14:textId="77777777" w:rsidR="00AB10A0" w:rsidRPr="00AB10A0" w:rsidRDefault="00AB10A0" w:rsidP="00AB10A0"/>
        </w:tc>
        <w:tc>
          <w:tcPr>
            <w:tcW w:w="286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14:paraId="36F12B6E" w14:textId="77777777" w:rsidR="00AB10A0" w:rsidRPr="00AB10A0" w:rsidRDefault="00AB10A0" w:rsidP="00AB10A0"/>
        </w:tc>
        <w:tc>
          <w:tcPr>
            <w:tcW w:w="286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14:paraId="5D1BDC26" w14:textId="77777777" w:rsidR="00AB10A0" w:rsidRPr="00AB10A0" w:rsidRDefault="00AB10A0" w:rsidP="00AB10A0"/>
        </w:tc>
        <w:tc>
          <w:tcPr>
            <w:tcW w:w="2868"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14:paraId="10D978B2" w14:textId="77777777" w:rsidR="00AB10A0" w:rsidRPr="00AB10A0" w:rsidRDefault="00AB10A0" w:rsidP="00AB10A0"/>
        </w:tc>
      </w:tr>
      <w:tr w:rsidR="00AB10A0" w:rsidRPr="00AB10A0" w14:paraId="4D5C7C89" w14:textId="77777777" w:rsidTr="00AB10A0">
        <w:trPr>
          <w:trHeight w:val="860"/>
        </w:trPr>
        <w:tc>
          <w:tcPr>
            <w:tcW w:w="2086" w:type="dxa"/>
            <w:tcBorders>
              <w:top w:val="single" w:sz="8" w:space="0" w:color="auto"/>
              <w:left w:val="single" w:sz="18" w:space="0" w:color="auto"/>
              <w:bottom w:val="single" w:sz="18" w:space="0" w:color="auto"/>
              <w:right w:val="single" w:sz="8" w:space="0" w:color="auto"/>
            </w:tcBorders>
            <w:shd w:val="clear" w:color="auto" w:fill="FFFFFF" w:themeFill="background1"/>
            <w:tcMar>
              <w:top w:w="72" w:type="dxa"/>
              <w:left w:w="144" w:type="dxa"/>
              <w:bottom w:w="72" w:type="dxa"/>
              <w:right w:w="144" w:type="dxa"/>
            </w:tcMar>
            <w:hideMark/>
          </w:tcPr>
          <w:p w14:paraId="22DD18E5" w14:textId="77777777" w:rsidR="00AB10A0" w:rsidRPr="00AB10A0" w:rsidRDefault="00AB10A0" w:rsidP="00AB10A0"/>
        </w:tc>
        <w:tc>
          <w:tcPr>
            <w:tcW w:w="1661" w:type="dxa"/>
            <w:tcBorders>
              <w:top w:val="single" w:sz="8" w:space="0" w:color="auto"/>
              <w:left w:val="single" w:sz="8" w:space="0" w:color="auto"/>
              <w:bottom w:val="single" w:sz="18" w:space="0" w:color="auto"/>
              <w:right w:val="single" w:sz="8" w:space="0" w:color="auto"/>
            </w:tcBorders>
            <w:shd w:val="clear" w:color="auto" w:fill="FFFFFF" w:themeFill="background1"/>
            <w:tcMar>
              <w:top w:w="72" w:type="dxa"/>
              <w:left w:w="144" w:type="dxa"/>
              <w:bottom w:w="72" w:type="dxa"/>
              <w:right w:w="144" w:type="dxa"/>
            </w:tcMar>
            <w:hideMark/>
          </w:tcPr>
          <w:p w14:paraId="1710DCAB" w14:textId="77777777" w:rsidR="00AB10A0" w:rsidRPr="00AB10A0" w:rsidRDefault="00AB10A0" w:rsidP="00AB10A0"/>
        </w:tc>
        <w:tc>
          <w:tcPr>
            <w:tcW w:w="1569" w:type="dxa"/>
            <w:tcBorders>
              <w:top w:val="single" w:sz="8" w:space="0" w:color="auto"/>
              <w:left w:val="single" w:sz="8" w:space="0" w:color="auto"/>
              <w:bottom w:val="single" w:sz="18" w:space="0" w:color="auto"/>
              <w:right w:val="single" w:sz="8" w:space="0" w:color="auto"/>
            </w:tcBorders>
            <w:shd w:val="clear" w:color="auto" w:fill="FFFFFF" w:themeFill="background1"/>
            <w:tcMar>
              <w:top w:w="72" w:type="dxa"/>
              <w:left w:w="144" w:type="dxa"/>
              <w:bottom w:w="72" w:type="dxa"/>
              <w:right w:w="144" w:type="dxa"/>
            </w:tcMar>
            <w:hideMark/>
          </w:tcPr>
          <w:p w14:paraId="7CEE3D92" w14:textId="77777777" w:rsidR="00AB10A0" w:rsidRPr="00AB10A0" w:rsidRDefault="00AB10A0" w:rsidP="00AB10A0"/>
        </w:tc>
        <w:tc>
          <w:tcPr>
            <w:tcW w:w="2864" w:type="dxa"/>
            <w:tcBorders>
              <w:top w:val="single" w:sz="8" w:space="0" w:color="auto"/>
              <w:left w:val="single" w:sz="8" w:space="0" w:color="auto"/>
              <w:bottom w:val="single" w:sz="18" w:space="0" w:color="auto"/>
              <w:right w:val="single" w:sz="8" w:space="0" w:color="auto"/>
            </w:tcBorders>
            <w:shd w:val="clear" w:color="auto" w:fill="FFFFFF"/>
            <w:tcMar>
              <w:top w:w="72" w:type="dxa"/>
              <w:left w:w="144" w:type="dxa"/>
              <w:bottom w:w="72" w:type="dxa"/>
              <w:right w:w="144" w:type="dxa"/>
            </w:tcMar>
            <w:hideMark/>
          </w:tcPr>
          <w:p w14:paraId="5ABD05BF" w14:textId="77777777" w:rsidR="00AB10A0" w:rsidRPr="00AB10A0" w:rsidRDefault="00AB10A0" w:rsidP="00AB10A0"/>
        </w:tc>
        <w:tc>
          <w:tcPr>
            <w:tcW w:w="2864" w:type="dxa"/>
            <w:tcBorders>
              <w:top w:val="single" w:sz="8" w:space="0" w:color="auto"/>
              <w:left w:val="single" w:sz="8" w:space="0" w:color="auto"/>
              <w:bottom w:val="single" w:sz="18" w:space="0" w:color="auto"/>
              <w:right w:val="single" w:sz="8" w:space="0" w:color="auto"/>
            </w:tcBorders>
            <w:shd w:val="clear" w:color="auto" w:fill="FFFFFF"/>
            <w:tcMar>
              <w:top w:w="72" w:type="dxa"/>
              <w:left w:w="144" w:type="dxa"/>
              <w:bottom w:w="72" w:type="dxa"/>
              <w:right w:w="144" w:type="dxa"/>
            </w:tcMar>
            <w:hideMark/>
          </w:tcPr>
          <w:p w14:paraId="20924608" w14:textId="77777777" w:rsidR="00AB10A0" w:rsidRPr="00AB10A0" w:rsidRDefault="00AB10A0" w:rsidP="00AB10A0"/>
        </w:tc>
        <w:tc>
          <w:tcPr>
            <w:tcW w:w="2868" w:type="dxa"/>
            <w:tcBorders>
              <w:top w:val="single" w:sz="8" w:space="0" w:color="auto"/>
              <w:left w:val="single" w:sz="8" w:space="0" w:color="auto"/>
              <w:bottom w:val="single" w:sz="18" w:space="0" w:color="auto"/>
              <w:right w:val="single" w:sz="18" w:space="0" w:color="auto"/>
            </w:tcBorders>
            <w:shd w:val="clear" w:color="auto" w:fill="FFFFFF"/>
            <w:tcMar>
              <w:top w:w="72" w:type="dxa"/>
              <w:left w:w="144" w:type="dxa"/>
              <w:bottom w:w="72" w:type="dxa"/>
              <w:right w:w="144" w:type="dxa"/>
            </w:tcMar>
            <w:hideMark/>
          </w:tcPr>
          <w:p w14:paraId="26956BFC" w14:textId="77777777" w:rsidR="00AB10A0" w:rsidRPr="00AB10A0" w:rsidRDefault="00AB10A0" w:rsidP="00AB10A0"/>
        </w:tc>
      </w:tr>
    </w:tbl>
    <w:p w14:paraId="70227360" w14:textId="77777777" w:rsidR="00AB10A0" w:rsidRDefault="00AB10A0"/>
    <w:sectPr w:rsidR="00AB10A0" w:rsidSect="00EA7DB2">
      <w:pgSz w:w="15840" w:h="12240" w:orient="landscape"/>
      <w:pgMar w:top="72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EE335B"/>
    <w:multiLevelType w:val="hybridMultilevel"/>
    <w:tmpl w:val="1FC0562C"/>
    <w:lvl w:ilvl="0" w:tplc="5B0A1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B2"/>
    <w:rsid w:val="00166974"/>
    <w:rsid w:val="00261926"/>
    <w:rsid w:val="00283C28"/>
    <w:rsid w:val="00291DF1"/>
    <w:rsid w:val="006E0F59"/>
    <w:rsid w:val="00886401"/>
    <w:rsid w:val="0097557E"/>
    <w:rsid w:val="00AB10A0"/>
    <w:rsid w:val="00AB47F4"/>
    <w:rsid w:val="00C753BF"/>
    <w:rsid w:val="00EA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A204"/>
  <w15:docId w15:val="{AAA78E2C-777E-4842-B7DF-20ADE86B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7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7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DB2"/>
    <w:rPr>
      <w:rFonts w:ascii="Segoe UI" w:hAnsi="Segoe UI" w:cs="Segoe UI"/>
      <w:sz w:val="18"/>
      <w:szCs w:val="18"/>
    </w:rPr>
  </w:style>
  <w:style w:type="paragraph" w:styleId="ListParagraph">
    <w:name w:val="List Paragraph"/>
    <w:basedOn w:val="Normal"/>
    <w:uiPriority w:val="34"/>
    <w:qFormat/>
    <w:rsid w:val="00AB1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777875">
      <w:bodyDiv w:val="1"/>
      <w:marLeft w:val="0"/>
      <w:marRight w:val="0"/>
      <w:marTop w:val="0"/>
      <w:marBottom w:val="0"/>
      <w:divBdr>
        <w:top w:val="none" w:sz="0" w:space="0" w:color="auto"/>
        <w:left w:val="none" w:sz="0" w:space="0" w:color="auto"/>
        <w:bottom w:val="none" w:sz="0" w:space="0" w:color="auto"/>
        <w:right w:val="none" w:sz="0" w:space="0" w:color="auto"/>
      </w:divBdr>
    </w:div>
    <w:div w:id="133695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2854</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Pell</dc:creator>
  <cp:lastModifiedBy>Megan Pell</cp:lastModifiedBy>
  <cp:revision>3</cp:revision>
  <cp:lastPrinted>2017-02-06T20:25:00Z</cp:lastPrinted>
  <dcterms:created xsi:type="dcterms:W3CDTF">2017-02-07T17:42:00Z</dcterms:created>
  <dcterms:modified xsi:type="dcterms:W3CDTF">2017-02-09T18:19:00Z</dcterms:modified>
</cp:coreProperties>
</file>