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D6" w:rsidRDefault="009D7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444444"/>
          <w:sz w:val="20"/>
          <w:szCs w:val="20"/>
          <w:u w:val="single"/>
          <w:shd w:val="clear" w:color="auto" w:fill="FAFAFA"/>
        </w:rPr>
      </w:pPr>
      <w:bookmarkStart w:id="0" w:name="_GoBack"/>
      <w:r>
        <w:rPr>
          <w:rFonts w:ascii="Arial" w:eastAsia="Arial" w:hAnsi="Arial" w:cs="Arial"/>
          <w:b/>
          <w:color w:val="444444"/>
          <w:sz w:val="20"/>
          <w:szCs w:val="20"/>
          <w:u w:val="single"/>
          <w:shd w:val="clear" w:color="auto" w:fill="FAFAFA"/>
        </w:rPr>
        <w:t>Sample Decision Rules for Return to School Screening Decisions</w:t>
      </w:r>
      <w:bookmarkEnd w:id="0"/>
      <w:r>
        <w:rPr>
          <w:rFonts w:ascii="Arial" w:eastAsia="Arial" w:hAnsi="Arial" w:cs="Arial"/>
          <w:b/>
          <w:color w:val="444444"/>
          <w:sz w:val="20"/>
          <w:szCs w:val="20"/>
          <w:u w:val="single"/>
          <w:shd w:val="clear" w:color="auto" w:fill="FAFAFA"/>
        </w:rPr>
        <w:br/>
        <w:t xml:space="preserve"> </w:t>
      </w:r>
    </w:p>
    <w:p w:rsidR="006135D6" w:rsidRDefault="009D7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The following </w:t>
      </w:r>
      <w:proofErr w:type="gramStart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>is based</w:t>
      </w:r>
      <w:proofErr w:type="gramEnd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 on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  <w:shd w:val="clear" w:color="auto" w:fill="FAFAFA"/>
          </w:rPr>
          <w:t>NASP’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  <w:shd w:val="clear" w:color="auto" w:fill="FAFAFA"/>
          </w:rPr>
          <w:t>s COVID-19 School Adjustment Risk Matrix (C-SARM)</w:t>
        </w:r>
      </w:hyperlink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>, which was developed to help inform decisions for initial service delivery based on the unique set of circumstances caused by COVID-19.   NASP recommends the consideration of two factors when making decisio</w:t>
      </w: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ns regarding traumatic stress risk: School Experiences Pre-COVID and the Student’s Shelter in Place Environment when determining who may need support.  The following </w:t>
      </w:r>
      <w:r>
        <w:rPr>
          <w:rFonts w:ascii="Arial" w:eastAsia="Arial" w:hAnsi="Arial" w:cs="Arial"/>
          <w:color w:val="444444"/>
          <w:sz w:val="20"/>
          <w:szCs w:val="20"/>
          <w:u w:val="single"/>
          <w:shd w:val="clear" w:color="auto" w:fill="FAFAFA"/>
        </w:rPr>
        <w:t>example</w:t>
      </w: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 </w:t>
      </w:r>
      <w:proofErr w:type="gramStart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>is meant to be used</w:t>
      </w:r>
      <w:proofErr w:type="gramEnd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 as a way to triage supports and answer questions such as:  whi</w:t>
      </w: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ch students need immediate support?  Do we need to adjust our school-wide supports?  Are there certain classrooms that need additional support?  </w:t>
      </w:r>
    </w:p>
    <w:p w:rsidR="006135D6" w:rsidRDefault="006135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6135D6">
        <w:tc>
          <w:tcPr>
            <w:tcW w:w="9350" w:type="dxa"/>
            <w:gridSpan w:val="4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Experience Pre-COVID:</w:t>
            </w:r>
          </w:p>
          <w:p w:rsidR="006135D6" w:rsidRDefault="009D701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student’s school behavior and experiences before school closures contributes s</w:t>
            </w:r>
            <w:r>
              <w:rPr>
                <w:i/>
                <w:sz w:val="22"/>
                <w:szCs w:val="22"/>
              </w:rPr>
              <w:t xml:space="preserve">ignificantly to predicting school adjustment upon a return to school.  The main question to ask </w:t>
            </w:r>
            <w:proofErr w:type="gramStart"/>
            <w:r>
              <w:rPr>
                <w:i/>
                <w:sz w:val="22"/>
                <w:szCs w:val="22"/>
              </w:rPr>
              <w:t>is:</w:t>
            </w:r>
            <w:proofErr w:type="gramEnd"/>
            <w:r>
              <w:rPr>
                <w:i/>
                <w:sz w:val="22"/>
                <w:szCs w:val="22"/>
              </w:rPr>
              <w:t xml:space="preserve">  what was the student’s experience with school prior to remote learning?</w:t>
            </w:r>
          </w:p>
        </w:tc>
      </w:tr>
      <w:tr w:rsidR="006135D6">
        <w:tc>
          <w:tcPr>
            <w:tcW w:w="2337" w:type="dxa"/>
          </w:tcPr>
          <w:p w:rsidR="006135D6" w:rsidRDefault="006135D6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Positive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Variable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Negative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Discipline Referrals (ODRs)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or more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&gt;3/quarter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4+/quarter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quarter</w:t>
            </w:r>
            <w:r>
              <w:rPr>
                <w:sz w:val="22"/>
                <w:szCs w:val="22"/>
              </w:rPr>
              <w:br/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Grades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or higher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or F in any course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 or Fs in multiple courses</w:t>
            </w:r>
          </w:p>
        </w:tc>
      </w:tr>
      <w:tr w:rsidR="006135D6">
        <w:tc>
          <w:tcPr>
            <w:tcW w:w="9350" w:type="dxa"/>
            <w:gridSpan w:val="4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Remote Learning Experience:</w:t>
            </w:r>
          </w:p>
          <w:p w:rsidR="006135D6" w:rsidRDefault="009D701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 support is a powerful buffer against **traumatic stress. A student’s engagement with online inst</w:t>
            </w:r>
            <w:r>
              <w:rPr>
                <w:i/>
                <w:sz w:val="22"/>
                <w:szCs w:val="22"/>
              </w:rPr>
              <w:t xml:space="preserve">ruction and school outreach can be a broad indicator about their shelter-in-place experience. The main question to ask </w:t>
            </w:r>
            <w:proofErr w:type="gramStart"/>
            <w:r>
              <w:rPr>
                <w:i/>
                <w:sz w:val="22"/>
                <w:szCs w:val="22"/>
              </w:rPr>
              <w:t>is:</w:t>
            </w:r>
            <w:proofErr w:type="gramEnd"/>
            <w:r>
              <w:rPr>
                <w:i/>
                <w:sz w:val="22"/>
                <w:szCs w:val="22"/>
              </w:rPr>
              <w:t xml:space="preserve">  did the family/student engage in what the school offered as support during remote learning?</w:t>
            </w:r>
          </w:p>
        </w:tc>
      </w:tr>
      <w:tr w:rsidR="006135D6">
        <w:tc>
          <w:tcPr>
            <w:tcW w:w="2337" w:type="dxa"/>
          </w:tcPr>
          <w:p w:rsidR="006135D6" w:rsidRDefault="006135D6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Positive 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Variable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Negative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of time in class meetings 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75%+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50-74%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&gt;50%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completion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Incomplete in any course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Incomplete in multiple courses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materials picked up/returned to school (e.g. learning packets)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Most/Yes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Some/N/A 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Few/No</w:t>
            </w:r>
          </w:p>
        </w:tc>
      </w:tr>
      <w:tr w:rsidR="006135D6">
        <w:tc>
          <w:tcPr>
            <w:tcW w:w="2337" w:type="dxa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Connectedness (e.g. student and family responsive to communication outreach)</w:t>
            </w:r>
          </w:p>
        </w:tc>
        <w:tc>
          <w:tcPr>
            <w:tcW w:w="2337" w:type="dxa"/>
            <w:shd w:val="clear" w:color="auto" w:fill="D9EAD3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 reports multiple positive connections during remote instruction </w:t>
            </w:r>
          </w:p>
        </w:tc>
        <w:tc>
          <w:tcPr>
            <w:tcW w:w="2338" w:type="dxa"/>
            <w:shd w:val="clear" w:color="auto" w:fill="FFF2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reports infrequent connection during remote instruction</w:t>
            </w:r>
          </w:p>
        </w:tc>
        <w:tc>
          <w:tcPr>
            <w:tcW w:w="2338" w:type="dxa"/>
            <w:shd w:val="clear" w:color="auto" w:fill="F4CCCC"/>
          </w:tcPr>
          <w:p w:rsidR="006135D6" w:rsidRDefault="009D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 connection made with teacher during remote instruction</w:t>
            </w:r>
          </w:p>
        </w:tc>
      </w:tr>
    </w:tbl>
    <w:p w:rsidR="006135D6" w:rsidRDefault="009D701E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  <w:r>
        <w:rPr>
          <w:sz w:val="22"/>
          <w:szCs w:val="22"/>
        </w:rPr>
        <w:t>*</w:t>
      </w: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>* Remember it is not recommended that teams universally screen for # of personal or family traumas because a tally does not provide direction regarding support services in schools, and not al</w:t>
      </w:r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l will experience trauma stress reactions </w:t>
      </w:r>
      <w:proofErr w:type="gramStart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>as a result</w:t>
      </w:r>
      <w:proofErr w:type="gramEnd"/>
      <w: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  <w:t xml:space="preserve"> of exposure.  </w:t>
      </w: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rFonts w:ascii="Arial" w:eastAsia="Arial" w:hAnsi="Arial" w:cs="Arial"/>
          <w:color w:val="444444"/>
          <w:sz w:val="20"/>
          <w:szCs w:val="20"/>
          <w:shd w:val="clear" w:color="auto" w:fill="FAFAFA"/>
        </w:rPr>
      </w:pPr>
    </w:p>
    <w:p w:rsidR="006135D6" w:rsidRDefault="006135D6">
      <w:pPr>
        <w:rPr>
          <w:sz w:val="22"/>
          <w:szCs w:val="22"/>
        </w:rPr>
      </w:pPr>
    </w:p>
    <w:tbl>
      <w:tblPr>
        <w:tblStyle w:val="a0"/>
        <w:tblW w:w="942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05"/>
        <w:gridCol w:w="1965"/>
        <w:gridCol w:w="1920"/>
        <w:gridCol w:w="2880"/>
      </w:tblGrid>
      <w:tr w:rsidR="006135D6">
        <w:trPr>
          <w:trHeight w:val="440"/>
        </w:trPr>
        <w:tc>
          <w:tcPr>
            <w:tcW w:w="135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Remote Learning Experience</w:t>
            </w:r>
          </w:p>
        </w:tc>
        <w:tc>
          <w:tcPr>
            <w:tcW w:w="807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Pre-COVID School Experiences</w:t>
            </w:r>
          </w:p>
        </w:tc>
      </w:tr>
      <w:tr w:rsidR="006135D6">
        <w:trPr>
          <w:trHeight w:val="440"/>
        </w:trPr>
        <w:tc>
          <w:tcPr>
            <w:tcW w:w="135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61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61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1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28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</w:t>
            </w:r>
          </w:p>
        </w:tc>
      </w:tr>
      <w:tr w:rsidR="006135D6">
        <w:trPr>
          <w:trHeight w:val="495"/>
        </w:trPr>
        <w:tc>
          <w:tcPr>
            <w:tcW w:w="135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61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19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risk</w:t>
            </w:r>
          </w:p>
        </w:tc>
        <w:tc>
          <w:tcPr>
            <w:tcW w:w="1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low/moderate risk</w:t>
            </w:r>
          </w:p>
        </w:tc>
        <w:tc>
          <w:tcPr>
            <w:tcW w:w="28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moderate/high risk</w:t>
            </w:r>
          </w:p>
        </w:tc>
      </w:tr>
      <w:tr w:rsidR="006135D6">
        <w:trPr>
          <w:trHeight w:val="440"/>
        </w:trPr>
        <w:tc>
          <w:tcPr>
            <w:tcW w:w="135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61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19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low/moderate risk</w:t>
            </w:r>
          </w:p>
        </w:tc>
        <w:tc>
          <w:tcPr>
            <w:tcW w:w="19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risk</w:t>
            </w:r>
          </w:p>
        </w:tc>
        <w:tc>
          <w:tcPr>
            <w:tcW w:w="28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risk</w:t>
            </w:r>
          </w:p>
        </w:tc>
      </w:tr>
      <w:tr w:rsidR="006135D6">
        <w:trPr>
          <w:trHeight w:val="440"/>
        </w:trPr>
        <w:tc>
          <w:tcPr>
            <w:tcW w:w="135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61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19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risk</w:t>
            </w:r>
          </w:p>
        </w:tc>
        <w:tc>
          <w:tcPr>
            <w:tcW w:w="19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risk</w:t>
            </w:r>
          </w:p>
        </w:tc>
        <w:tc>
          <w:tcPr>
            <w:tcW w:w="28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5D6" w:rsidRDefault="009D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risk</w:t>
            </w:r>
          </w:p>
        </w:tc>
      </w:tr>
    </w:tbl>
    <w:p w:rsidR="006135D6" w:rsidRDefault="009D701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Source:  National Association of School Psychologists. (2020). Returning to School Following COVID-19 Related School Closures: The COVID-19 School Adjustment Risk Matrix (C-SARM) [handout]. Author.</w:t>
      </w:r>
    </w:p>
    <w:sectPr w:rsidR="006135D6">
      <w:footerReference w:type="default" r:id="rId7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701E">
      <w:r>
        <w:separator/>
      </w:r>
    </w:p>
  </w:endnote>
  <w:endnote w:type="continuationSeparator" w:id="0">
    <w:p w:rsidR="00000000" w:rsidRDefault="009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D6" w:rsidRDefault="009D701E">
    <w:r>
      <w:t>Delaware PBS Project,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701E">
      <w:r>
        <w:separator/>
      </w:r>
    </w:p>
  </w:footnote>
  <w:footnote w:type="continuationSeparator" w:id="0">
    <w:p w:rsidR="00000000" w:rsidRDefault="009D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D6"/>
    <w:rsid w:val="006135D6"/>
    <w:rsid w:val="009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E2175-FA19-46B6-99F1-6FC5524A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sponline.org/resources-and-publications/resources-and-podcasts/covid-19-resource-center/return-to-school/returning-to-school-following-covid-19-related-school-closures-the-covid-19-school-adjustment-risk-matrix-(c-sarm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2</cp:revision>
  <dcterms:created xsi:type="dcterms:W3CDTF">2020-10-25T19:54:00Z</dcterms:created>
  <dcterms:modified xsi:type="dcterms:W3CDTF">2020-10-25T19:54:00Z</dcterms:modified>
</cp:coreProperties>
</file>