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District MTSS/PBS Coach Reflection &amp; Mapping</w:t>
      </w:r>
    </w:p>
    <w:p w:rsidR="00000000" w:rsidDel="00000000" w:rsidP="00000000" w:rsidRDefault="00000000" w:rsidRPr="00000000" w14:paraId="00000002">
      <w:pPr>
        <w:widowControl w:val="0"/>
        <w:spacing w:before="240" w:line="192.00000000000003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Center on PBIS - Phases of Recovery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5.0" w:type="dxa"/>
        <w:jc w:val="left"/>
        <w:tblInd w:w="-10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6645"/>
        <w:gridCol w:w="7140"/>
        <w:tblGridChange w:id="0">
          <w:tblGrid>
            <w:gridCol w:w="6645"/>
            <w:gridCol w:w="7140"/>
          </w:tblGrid>
        </w:tblGridChange>
      </w:tblGrid>
      <w:tr>
        <w:trPr>
          <w:trHeight w:val="600" w:hRule="atLeast"/>
        </w:trPr>
        <w:tc>
          <w:tcPr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Getting Started</w:t>
            </w:r>
          </w:p>
        </w:tc>
        <w:tc>
          <w:tcPr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Maintaining &amp; Strengthening</w:t>
            </w:r>
          </w:p>
        </w:tc>
      </w:tr>
      <w:tr>
        <w:trPr>
          <w:trHeight w:val="600" w:hRule="atLeast"/>
        </w:trPr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5"/>
              </w:numPr>
              <w:ind w:left="360" w:hanging="27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There is an explicit commitment to implementation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5"/>
              </w:numPr>
              <w:ind w:left="360" w:hanging="27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Schools were not implementing with fidelity prior to the crisis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ind w:left="360" w:hanging="27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District or school teams are in training or action planning stages but have not yet begun school-wide implementation</w:t>
            </w:r>
          </w:p>
        </w:tc>
        <w:tc>
          <w:tcPr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Schools were implementing with at least tier 1 fidelity prior to the crisis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8"/>
              </w:numPr>
              <w:ind w:left="360" w:hanging="27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Strong district commitment and infrastructure to support implementation at the school level exists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05.0" w:type="dxa"/>
        <w:jc w:val="left"/>
        <w:tblInd w:w="-19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470"/>
        <w:gridCol w:w="2190"/>
        <w:gridCol w:w="3465"/>
        <w:gridCol w:w="3435"/>
        <w:gridCol w:w="3045"/>
        <w:tblGridChange w:id="0">
          <w:tblGrid>
            <w:gridCol w:w="1470"/>
            <w:gridCol w:w="2190"/>
            <w:gridCol w:w="3465"/>
            <w:gridCol w:w="3435"/>
            <w:gridCol w:w="3045"/>
          </w:tblGrid>
        </w:tblGridChange>
      </w:tblGrid>
      <w:tr>
        <w:trPr>
          <w:trHeight w:val="1058.90625" w:hRule="atLeast"/>
        </w:trPr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Immediate Crisis Response </w:t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Ensure Safety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Initial Recovery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Stabilize Learning Environment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Intermediate Recovery </w:t>
            </w:r>
          </w:p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Differentiate Based on Data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Enhanced Implementation </w:t>
            </w:r>
          </w:p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Promote Culture of Wellness</w:t>
            </w:r>
          </w:p>
        </w:tc>
      </w:tr>
      <w:tr>
        <w:trPr>
          <w:trHeight w:val="1397.871093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Arial" w:cs="Arial" w:eastAsia="Arial" w:hAnsi="Arial"/>
                <w:b w:val="1"/>
                <w:i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73763"/>
                <w:sz w:val="20"/>
                <w:szCs w:val="20"/>
                <w:rtl w:val="0"/>
              </w:rPr>
              <w:t xml:space="preserve">Implementation Level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Getting Started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ind w:left="54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6"/>
              </w:numPr>
              <w:ind w:left="45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physical &amp; emotional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safety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of all</w:t>
            </w:r>
          </w:p>
          <w:p w:rsidR="00000000" w:rsidDel="00000000" w:rsidP="00000000" w:rsidRDefault="00000000" w:rsidRPr="00000000" w14:paraId="00000019">
            <w:pPr>
              <w:widowControl w:val="0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ind w:left="45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Implement clear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communica- tion &amp; resource distribution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Prioritize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staff wellness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 in positive, predictable, &amp; safe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tier 1 classroom practices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ground in expectations matrix)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7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 in 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ier 1 practices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school-wide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7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existing data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to screen &amp; match student to supports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to make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ongoing adjustments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an evidence-based, trauma-informed, &amp; equitable continuum or supports</w:t>
            </w:r>
          </w:p>
        </w:tc>
      </w:tr>
      <w:tr>
        <w:trPr>
          <w:trHeight w:val="166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73763"/>
                <w:sz w:val="20"/>
                <w:szCs w:val="20"/>
                <w:rtl w:val="0"/>
              </w:rPr>
              <w:t xml:space="preserve">Implementation Level: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Strengthen- ing</w:t>
            </w:r>
          </w:p>
        </w:tc>
        <w:tc>
          <w:tcPr>
            <w:vMerge w:val="continue"/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9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Enhance existing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tier 1 supports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 teach &amp; reinforce new protocols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ground in expectations matrix)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9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Include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mental health 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1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Refine tier 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based on data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1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Enhance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screening protocol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1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develop/enhance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tier 2 &amp; 3 supports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to match needs</w:t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60.0" w:type="dxa"/>
        <w:jc w:val="left"/>
        <w:tblInd w:w="89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6030"/>
        <w:gridCol w:w="5730"/>
        <w:tblGridChange w:id="0">
          <w:tblGrid>
            <w:gridCol w:w="6030"/>
            <w:gridCol w:w="5730"/>
          </w:tblGrid>
        </w:tblGridChange>
      </w:tblGrid>
      <w:tr>
        <w:trPr>
          <w:trHeight w:val="560" w:hRule="atLeast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Initial Recovery Resources</w:t>
            </w:r>
          </w:p>
        </w:tc>
        <w:tc>
          <w:tcPr>
            <w:tcBorders>
              <w:top w:color="b7b7b7" w:space="0" w:sz="8" w:val="single"/>
              <w:left w:color="000000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Immediate Recovery Resources</w:t>
            </w:r>
          </w:p>
        </w:tc>
      </w:tr>
      <w:tr>
        <w:trPr>
          <w:trHeight w:val="1335" w:hRule="atLeast"/>
        </w:trPr>
        <w:tc>
          <w:tcPr>
            <w:tcBorders>
              <w:top w:color="b7b7b7" w:space="0" w:sz="8" w:val="single"/>
              <w:bottom w:color="c9daf8" w:space="0" w:sz="8" w:val="single"/>
              <w:right w:color="000000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2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Staff Wellness webinar and brief (coming soon to PBIS.org)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2"/>
              </w:numPr>
              <w:ind w:left="450" w:hanging="360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Supporting and Responding to Behavior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Classroom Practices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2"/>
              </w:numPr>
              <w:ind w:left="45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Building Habits for Classroom Practices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Webinar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and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Brief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2"/>
              </w:numPr>
              <w:ind w:left="450" w:hanging="360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DE-PBS Classroom Habits 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with Action Plan and Resources</w:t>
            </w:r>
          </w:p>
        </w:tc>
        <w:tc>
          <w:tcPr>
            <w:tcBorders>
              <w:left w:color="000000" w:space="0" w:sz="8" w:val="single"/>
              <w:bottom w:color="c9daf8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4"/>
              </w:numPr>
              <w:ind w:left="540" w:hanging="360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Tier 1 Practices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4"/>
              </w:numPr>
              <w:ind w:left="540" w:hanging="360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Data-Based Decision-Making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4"/>
              </w:numPr>
              <w:ind w:left="540" w:hanging="360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Using outcome data to implement MTSS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tcBorders>
              <w:top w:color="c9daf8" w:space="0" w:sz="8" w:val="single"/>
              <w:left w:color="434343" w:space="0" w:sz="8" w:val="single"/>
              <w:bottom w:color="434343" w:space="0" w:sz="8" w:val="single"/>
              <w:right w:color="000000" w:space="0" w:sz="8" w:val="single"/>
            </w:tcBorders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4"/>
              </w:numPr>
              <w:ind w:left="450" w:hanging="360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Supporting Schools During and After Crisis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4"/>
              </w:numPr>
              <w:ind w:left="450" w:hanging="360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Teaching Social-Emotional Competencies through a PBIS Framework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daf8" w:space="0" w:sz="8" w:val="single"/>
              <w:left w:color="000000" w:space="0" w:sz="8" w:val="single"/>
              <w:bottom w:color="434343" w:space="0" w:sz="8" w:val="single"/>
              <w:right w:color="434343" w:space="0" w:sz="8" w:val="single"/>
            </w:tcBorders>
            <w:shd w:fill="c9daf8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3"/>
              </w:numPr>
              <w:ind w:left="540" w:hanging="360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Data-Based Decision-Making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3"/>
              </w:numPr>
              <w:ind w:left="540" w:hanging="360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Systematic Screening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3"/>
              </w:numPr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 Ten Questions about Universal Screening 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Professional Learning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Tools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3"/>
              </w:numPr>
              <w:ind w:left="540" w:hanging="360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Tier 2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and </w:t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color w:val="1a237e"/>
                  <w:sz w:val="20"/>
                  <w:szCs w:val="20"/>
                  <w:u w:val="single"/>
                  <w:rtl w:val="0"/>
                </w:rPr>
                <w:t xml:space="preserve">Tier 3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Overviews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Action Steps for District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Coaches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Coaches are encouraged to read the brief </w:t>
      </w:r>
      <w:hyperlink r:id="rId2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Center on PBIS - Supporting PBIS Through Phases of Recovery</w:t>
        </w:r>
      </w:hyperlink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resource to orient to the phases, implementation levels and potential resources. The info on page 1 is a brief summary. 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List schools you are supporting in this bank.  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ind w:left="720" w:firstLine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School List Bank: </w:t>
      </w:r>
    </w:p>
    <w:tbl>
      <w:tblPr>
        <w:tblStyle w:val="Table4"/>
        <w:tblW w:w="127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80"/>
        <w:tblGridChange w:id="0">
          <w:tblGrid>
            <w:gridCol w:w="12780"/>
          </w:tblGrid>
        </w:tblGridChange>
      </w:tblGrid>
      <w:tr>
        <w:trPr>
          <w:trHeight w:val="95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76" w:lineRule="auto"/>
        <w:ind w:left="0" w:firstLine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Next, reflect on where schools are at in regards to their Tier 1 implementation level and phase of recovery. Utilize the tool below to list schools in the appropriate category for both implementation level and phase of crisis recovery.   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425.0" w:type="dxa"/>
        <w:jc w:val="left"/>
        <w:tblInd w:w="-10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935"/>
        <w:gridCol w:w="2325"/>
        <w:gridCol w:w="2940"/>
        <w:gridCol w:w="2850"/>
        <w:gridCol w:w="3375"/>
        <w:tblGridChange w:id="0">
          <w:tblGrid>
            <w:gridCol w:w="1935"/>
            <w:gridCol w:w="2325"/>
            <w:gridCol w:w="2940"/>
            <w:gridCol w:w="2850"/>
            <w:gridCol w:w="3375"/>
          </w:tblGrid>
        </w:tblGridChange>
      </w:tblGrid>
      <w:tr>
        <w:trPr>
          <w:trHeight w:val="1058.90625" w:hRule="atLeast"/>
        </w:trPr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Immediate Crisis Response 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Ensure Safety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Initial Recovery 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Stabilize Learning Environment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Intermediate Recovery </w:t>
            </w:r>
          </w:p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Differentiate Based on Data</w:t>
            </w:r>
          </w:p>
        </w:tc>
        <w:tc>
          <w:tcPr>
            <w:tcBorders>
              <w:bottom w:color="000000" w:space="0" w:sz="8" w:val="single"/>
            </w:tcBorders>
            <w:shd w:fill="fff2cc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Enhanced Implementation </w:t>
            </w:r>
          </w:p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Promote Culture of Wellness</w:t>
            </w:r>
          </w:p>
        </w:tc>
      </w:tr>
      <w:tr>
        <w:trPr>
          <w:trHeight w:val="20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Getting Started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ind w:left="450" w:hanging="18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ad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ffffff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3d85c6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Strengthening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0"/>
              </w:numPr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spacing w:before="240" w:line="276" w:lineRule="auto"/>
        <w:ind w:left="720" w:hanging="360"/>
        <w:rPr>
          <w:rFonts w:ascii="Arial" w:cs="Arial" w:eastAsia="Arial" w:hAnsi="Arial"/>
          <w:i w:val="1"/>
          <w:sz w:val="21.05"/>
          <w:szCs w:val="21.05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1.05"/>
          <w:szCs w:val="21.05"/>
          <w:rtl w:val="0"/>
        </w:rPr>
        <w:t xml:space="preserve">Based on placement of district schools in the table, reference the suggested focus and related resources on page 1. This can help you key in on which resources might be a match for school teams to consider (at the same time not overwhelming them with too many ideas/tools). As a coach, how might you discuss &amp; support your schools with resources?  If many schools are placed in a similar area of the table, think how you can efficiently support them?  </w:t>
      </w:r>
    </w:p>
    <w:p w:rsidR="00000000" w:rsidDel="00000000" w:rsidP="00000000" w:rsidRDefault="00000000" w:rsidRPr="00000000" w14:paraId="00000056">
      <w:pPr>
        <w:widowControl w:val="0"/>
        <w:spacing w:before="240" w:line="192.0000000000000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240" w:line="192.00000000000003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810" w:top="270" w:left="126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12AA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F12AA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2AA1"/>
  </w:style>
  <w:style w:type="paragraph" w:styleId="Footer">
    <w:name w:val="footer"/>
    <w:basedOn w:val="Normal"/>
    <w:link w:val="FooterChar"/>
    <w:uiPriority w:val="99"/>
    <w:unhideWhenUsed w:val="1"/>
    <w:rsid w:val="00F12AA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2AA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bis.org/pbis/tier-2" TargetMode="External"/><Relationship Id="rId11" Type="http://schemas.openxmlformats.org/officeDocument/2006/relationships/hyperlink" Target="http://www.delawarepbs.org/building-habits-of-effective-classroom-practice/" TargetMode="External"/><Relationship Id="rId22" Type="http://schemas.openxmlformats.org/officeDocument/2006/relationships/hyperlink" Target="https://www.pbis.org/resource/supporting-pbis-implementation-through-phases-of-crisis-recovery" TargetMode="External"/><Relationship Id="rId10" Type="http://schemas.openxmlformats.org/officeDocument/2006/relationships/hyperlink" Target="https://www.pbis.org/resource/habits-of-effective-classroom-practice" TargetMode="External"/><Relationship Id="rId21" Type="http://schemas.openxmlformats.org/officeDocument/2006/relationships/hyperlink" Target="https://www.pbis.org/pbis/tier-3" TargetMode="External"/><Relationship Id="rId13" Type="http://schemas.openxmlformats.org/officeDocument/2006/relationships/hyperlink" Target="https://www.pbis.org/topics/data-based-decision-making" TargetMode="External"/><Relationship Id="rId12" Type="http://schemas.openxmlformats.org/officeDocument/2006/relationships/hyperlink" Target="https://www.pbis.org/pbis/tier-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bis.org/video/building-habits-of-effective-practice-webinar" TargetMode="External"/><Relationship Id="rId15" Type="http://schemas.openxmlformats.org/officeDocument/2006/relationships/hyperlink" Target="https://www.pbis.org/resource/returning-to-school-during-and-after-crisis" TargetMode="External"/><Relationship Id="rId14" Type="http://schemas.openxmlformats.org/officeDocument/2006/relationships/hyperlink" Target="https://www.pbis.org/resource/using-outcome-data-in-high-schools" TargetMode="External"/><Relationship Id="rId17" Type="http://schemas.openxmlformats.org/officeDocument/2006/relationships/hyperlink" Target="https://www.pbis.org/topics/data-based-decision-making" TargetMode="External"/><Relationship Id="rId16" Type="http://schemas.openxmlformats.org/officeDocument/2006/relationships/hyperlink" Target="https://www.pbis.org/resource/teaching-social-emotional-competencies-within-a-pbis-framework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delawarepbs.org/universal-screening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pbis.org/resource/universal-screening-systematic-screening-to-shape-instruction" TargetMode="External"/><Relationship Id="rId7" Type="http://schemas.openxmlformats.org/officeDocument/2006/relationships/hyperlink" Target="https://www.pbis.org/resource/supporting-pbis-implementation-through-phases-of-crisis-recovery" TargetMode="External"/><Relationship Id="rId8" Type="http://schemas.openxmlformats.org/officeDocument/2006/relationships/hyperlink" Target="https://www.pbis.org/resource/supporting-and-responding-to-behavior-evidence-based-classroom-strategies-for-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4M83qjTsBZKUYGe5U5bkmupPA==">AMUW2mUjbap6zyTwOEBKgot8xdDbpN3SnA+0r9V4JAp6nySYiT36u6ixjUYAlGkSmAHnmX8W+yePzrtElIimvQVAdHooYE50Mdrg95esGZN7HzgBsXCQqI8=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2021-03-01T14:30:00Z</dcterms:created>
  <dc:creator>renee lachman</dc:creator>
</cp:coreProperties>
</file>